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1DD7" w:rsidRPr="0052641E" w:rsidRDefault="00CC656A" w:rsidP="00211DD7">
      <w:pPr>
        <w:spacing w:line="360" w:lineRule="auto"/>
        <w:ind w:left="-426" w:right="-6"/>
        <w:rPr>
          <w:rFonts w:ascii="Arial" w:hAnsi="Arial"/>
          <w:b/>
          <w:sz w:val="26"/>
          <w:u w:val="single"/>
        </w:rPr>
      </w:pPr>
      <w:r>
        <w:rPr>
          <w:rFonts w:ascii="Arial" w:hAnsi="Arial"/>
          <w:b/>
          <w:sz w:val="26"/>
          <w:u w:val="single"/>
        </w:rPr>
        <w:t>Jeudi 30</w:t>
      </w:r>
      <w:r w:rsidR="00211DD7">
        <w:rPr>
          <w:rFonts w:ascii="Arial" w:hAnsi="Arial"/>
          <w:b/>
          <w:sz w:val="26"/>
          <w:u w:val="single"/>
        </w:rPr>
        <w:t xml:space="preserve"> avril</w:t>
      </w:r>
      <w:r w:rsidR="00211DD7" w:rsidRPr="0052641E">
        <w:rPr>
          <w:rFonts w:ascii="Arial" w:hAnsi="Arial"/>
          <w:b/>
          <w:sz w:val="26"/>
          <w:u w:val="single"/>
        </w:rPr>
        <w:t xml:space="preserve"> 2020</w:t>
      </w:r>
    </w:p>
    <w:p w:rsidR="00211DD7" w:rsidRPr="0052641E" w:rsidRDefault="00211DD7" w:rsidP="00211DD7">
      <w:pPr>
        <w:spacing w:line="360" w:lineRule="auto"/>
        <w:ind w:left="-426" w:right="-425"/>
        <w:rPr>
          <w:rFonts w:ascii="Arial" w:hAnsi="Arial"/>
          <w:i/>
          <w:sz w:val="26"/>
        </w:rPr>
      </w:pPr>
      <w:r w:rsidRPr="0052641E">
        <w:rPr>
          <w:rFonts w:ascii="Arial" w:hAnsi="Arial"/>
          <w:b/>
          <w:sz w:val="26"/>
          <w:u w:val="single"/>
        </w:rPr>
        <w:t>Rituel français</w:t>
      </w:r>
      <w:r>
        <w:rPr>
          <w:rFonts w:ascii="Arial" w:hAnsi="Arial"/>
          <w:b/>
          <w:sz w:val="26"/>
        </w:rPr>
        <w:t xml:space="preserve"> (</w:t>
      </w:r>
      <w:r>
        <w:rPr>
          <w:rFonts w:ascii="Arial" w:hAnsi="Arial"/>
          <w:i/>
          <w:sz w:val="26"/>
        </w:rPr>
        <w:t xml:space="preserve">Source : phrases ou idées extraites de Mon quotidien du </w:t>
      </w:r>
      <w:r w:rsidR="007F5D81">
        <w:rPr>
          <w:rFonts w:ascii="Arial" w:hAnsi="Arial"/>
          <w:i/>
          <w:sz w:val="26"/>
        </w:rPr>
        <w:t>2</w:t>
      </w:r>
      <w:r w:rsidR="00F017F5">
        <w:rPr>
          <w:rFonts w:ascii="Arial" w:hAnsi="Arial"/>
          <w:i/>
          <w:sz w:val="26"/>
        </w:rPr>
        <w:t>9</w:t>
      </w:r>
      <w:r>
        <w:rPr>
          <w:rFonts w:ascii="Arial" w:hAnsi="Arial"/>
          <w:i/>
          <w:sz w:val="26"/>
        </w:rPr>
        <w:t xml:space="preserve"> avril). </w:t>
      </w:r>
    </w:p>
    <w:p w:rsidR="00211DD7" w:rsidRPr="0052641E" w:rsidRDefault="00211DD7" w:rsidP="00211DD7">
      <w:pPr>
        <w:ind w:left="-426" w:right="-6"/>
        <w:rPr>
          <w:rFonts w:ascii="Arial" w:hAnsi="Arial"/>
          <w:b/>
          <w:color w:val="FF0000"/>
          <w:sz w:val="26"/>
        </w:rPr>
      </w:pPr>
      <w:r w:rsidRPr="0052641E">
        <w:rPr>
          <w:rFonts w:ascii="Arial" w:hAnsi="Arial"/>
          <w:b/>
          <w:color w:val="FF0000"/>
          <w:sz w:val="26"/>
        </w:rPr>
        <w:t>Souligne les sujets en rouge (on parle de qui, de quoi ?)</w:t>
      </w:r>
    </w:p>
    <w:p w:rsidR="00211DD7" w:rsidRPr="0052641E" w:rsidRDefault="00211DD7" w:rsidP="00211DD7">
      <w:pPr>
        <w:ind w:left="-426" w:right="-6"/>
        <w:rPr>
          <w:rFonts w:ascii="Arial" w:hAnsi="Arial"/>
          <w:b/>
          <w:color w:val="76923C" w:themeColor="accent3" w:themeShade="BF"/>
          <w:sz w:val="26"/>
        </w:rPr>
      </w:pPr>
      <w:r w:rsidRPr="0052641E">
        <w:rPr>
          <w:rFonts w:ascii="Arial" w:hAnsi="Arial"/>
          <w:b/>
          <w:color w:val="76923C" w:themeColor="accent3" w:themeShade="BF"/>
          <w:sz w:val="26"/>
        </w:rPr>
        <w:t>Souligne les verbes en vert (que fait la personne, l’objet ou l’animal ?)</w:t>
      </w:r>
    </w:p>
    <w:p w:rsidR="00211DD7" w:rsidRPr="0052641E" w:rsidRDefault="00211DD7" w:rsidP="00211DD7">
      <w:pPr>
        <w:ind w:left="-426" w:right="-850"/>
        <w:rPr>
          <w:rFonts w:ascii="Arial" w:hAnsi="Arial"/>
          <w:b/>
          <w:sz w:val="26"/>
        </w:rPr>
      </w:pPr>
      <w:r w:rsidRPr="0052641E">
        <w:rPr>
          <w:rFonts w:ascii="Arial" w:hAnsi="Arial"/>
          <w:b/>
          <w:sz w:val="26"/>
        </w:rPr>
        <w:t>Souligne les adjectifs en noir (un mot qui décrit, précise, donne des informations)</w:t>
      </w:r>
    </w:p>
    <w:p w:rsidR="00211DD7" w:rsidRDefault="00211DD7" w:rsidP="00211DD7">
      <w:pPr>
        <w:ind w:left="-426" w:right="-6"/>
        <w:rPr>
          <w:rFonts w:ascii="Arial" w:hAnsi="Arial"/>
          <w:b/>
          <w:color w:val="3366FF"/>
          <w:sz w:val="26"/>
        </w:rPr>
      </w:pPr>
      <w:r>
        <w:rPr>
          <w:rFonts w:ascii="Arial" w:hAnsi="Arial"/>
          <w:b/>
          <w:color w:val="3366FF"/>
          <w:sz w:val="26"/>
        </w:rPr>
        <w:t>Bonus : souligne 1 ou 2 mots invariables (voir leçon dictée 8 : mots qui ne s’accordent pas, leur orthographe ne change jamais).</w:t>
      </w:r>
    </w:p>
    <w:p w:rsidR="00211DD7" w:rsidRPr="00835859" w:rsidRDefault="00211DD7" w:rsidP="00211DD7">
      <w:pPr>
        <w:spacing w:after="0" w:line="360" w:lineRule="auto"/>
        <w:ind w:left="-425" w:right="-6"/>
        <w:rPr>
          <w:rFonts w:ascii="Arial" w:hAnsi="Arial"/>
          <w:color w:val="000000" w:themeColor="text1"/>
          <w:sz w:val="16"/>
        </w:rPr>
      </w:pPr>
    </w:p>
    <w:p w:rsidR="004D59AD" w:rsidRDefault="004D59AD" w:rsidP="004D59AD">
      <w:pPr>
        <w:spacing w:line="360" w:lineRule="auto"/>
        <w:ind w:left="-425" w:right="-6"/>
        <w:rPr>
          <w:rFonts w:ascii="Arial" w:hAnsi="Arial"/>
          <w:color w:val="000000" w:themeColor="text1"/>
          <w:sz w:val="26"/>
        </w:rPr>
      </w:pPr>
      <w:r>
        <w:rPr>
          <w:rFonts w:ascii="Arial" w:hAnsi="Arial"/>
          <w:color w:val="000000" w:themeColor="text1"/>
          <w:sz w:val="26"/>
        </w:rPr>
        <w:t xml:space="preserve">Confinement : deux manchots se baladent dans un aquarium. </w:t>
      </w:r>
    </w:p>
    <w:p w:rsidR="004D59AD" w:rsidRDefault="004D59AD" w:rsidP="004D59AD">
      <w:pPr>
        <w:spacing w:line="360" w:lineRule="auto"/>
        <w:ind w:left="-425" w:right="-6"/>
        <w:rPr>
          <w:rFonts w:ascii="Arial" w:hAnsi="Arial"/>
          <w:color w:val="000000" w:themeColor="text1"/>
          <w:sz w:val="26"/>
        </w:rPr>
      </w:pPr>
      <w:r>
        <w:rPr>
          <w:rFonts w:ascii="Arial" w:hAnsi="Arial"/>
          <w:color w:val="000000" w:themeColor="text1"/>
          <w:sz w:val="26"/>
        </w:rPr>
        <w:t xml:space="preserve">La vidéo a été vue 450 000 (quatre cent cinquante mille) fois sur le réseau social </w:t>
      </w:r>
      <w:proofErr w:type="spellStart"/>
      <w:r>
        <w:rPr>
          <w:rFonts w:ascii="Arial" w:hAnsi="Arial"/>
          <w:color w:val="000000" w:themeColor="text1"/>
          <w:sz w:val="26"/>
        </w:rPr>
        <w:t>Facebook</w:t>
      </w:r>
      <w:proofErr w:type="spellEnd"/>
      <w:r>
        <w:rPr>
          <w:rFonts w:ascii="Arial" w:hAnsi="Arial"/>
          <w:color w:val="000000" w:themeColor="text1"/>
          <w:sz w:val="26"/>
        </w:rPr>
        <w:t xml:space="preserve">. Les soigneurs de </w:t>
      </w:r>
      <w:proofErr w:type="spellStart"/>
      <w:r>
        <w:rPr>
          <w:rFonts w:ascii="Arial" w:hAnsi="Arial"/>
          <w:color w:val="000000" w:themeColor="text1"/>
          <w:sz w:val="26"/>
        </w:rPr>
        <w:t>Nausicaà</w:t>
      </w:r>
      <w:proofErr w:type="spellEnd"/>
      <w:r>
        <w:rPr>
          <w:rFonts w:ascii="Arial" w:hAnsi="Arial"/>
          <w:color w:val="000000" w:themeColor="text1"/>
          <w:sz w:val="26"/>
        </w:rPr>
        <w:t xml:space="preserve">, à Boulogne-sur-Mer (62), ont laissé deux de leurs manchots, </w:t>
      </w:r>
      <w:proofErr w:type="spellStart"/>
      <w:r>
        <w:rPr>
          <w:rFonts w:ascii="Arial" w:hAnsi="Arial"/>
          <w:color w:val="000000" w:themeColor="text1"/>
          <w:sz w:val="26"/>
        </w:rPr>
        <w:t>Amenzi</w:t>
      </w:r>
      <w:proofErr w:type="spellEnd"/>
      <w:r>
        <w:rPr>
          <w:rFonts w:ascii="Arial" w:hAnsi="Arial"/>
          <w:color w:val="000000" w:themeColor="text1"/>
          <w:sz w:val="26"/>
        </w:rPr>
        <w:t xml:space="preserve"> et Opale, se promener dans les couloirs de l’aquarium, début avril. Les femelles, âgées de 3 et 8 ans, ont fait le tour des bassins. Elles sont passées devant les caisses de l’aquarium, dans la cafétéria. Cette balade a été possible grâce au confinement : à cause de l’épidémie Covid-19, le parc </w:t>
      </w:r>
      <w:proofErr w:type="spellStart"/>
      <w:r>
        <w:rPr>
          <w:rFonts w:ascii="Arial" w:hAnsi="Arial"/>
          <w:color w:val="000000" w:themeColor="text1"/>
          <w:sz w:val="26"/>
        </w:rPr>
        <w:t>Nausicaà</w:t>
      </w:r>
      <w:proofErr w:type="spellEnd"/>
      <w:r>
        <w:rPr>
          <w:rFonts w:ascii="Arial" w:hAnsi="Arial"/>
          <w:color w:val="000000" w:themeColor="text1"/>
          <w:sz w:val="26"/>
        </w:rPr>
        <w:t xml:space="preserve"> est fermé aux visiteurs en ce moment. </w:t>
      </w:r>
    </w:p>
    <w:p w:rsidR="00211DD7" w:rsidRPr="003D6BA0" w:rsidRDefault="004D59AD" w:rsidP="004D59AD">
      <w:pPr>
        <w:spacing w:line="360" w:lineRule="auto"/>
        <w:ind w:left="-425" w:right="-6"/>
        <w:rPr>
          <w:rFonts w:ascii="Arial" w:hAnsi="Arial"/>
          <w:color w:val="000000" w:themeColor="text1"/>
          <w:sz w:val="26"/>
        </w:rPr>
        <w:sectPr w:rsidR="00211DD7" w:rsidRPr="003D6BA0">
          <w:pgSz w:w="11900" w:h="16840"/>
          <w:pgMar w:top="426" w:right="985" w:bottom="284" w:left="1417" w:header="708" w:footer="708" w:gutter="0"/>
          <w:cols w:space="708"/>
        </w:sectPr>
      </w:pPr>
      <w:proofErr w:type="spellStart"/>
      <w:r>
        <w:rPr>
          <w:rFonts w:ascii="Arial" w:hAnsi="Arial"/>
          <w:color w:val="000000" w:themeColor="text1"/>
          <w:sz w:val="26"/>
        </w:rPr>
        <w:t>Amenzi</w:t>
      </w:r>
      <w:proofErr w:type="spellEnd"/>
      <w:r>
        <w:rPr>
          <w:rFonts w:ascii="Arial" w:hAnsi="Arial"/>
          <w:color w:val="000000" w:themeColor="text1"/>
          <w:sz w:val="26"/>
        </w:rPr>
        <w:t xml:space="preserve"> et Opale sont nées à </w:t>
      </w:r>
      <w:proofErr w:type="spellStart"/>
      <w:r>
        <w:rPr>
          <w:rFonts w:ascii="Arial" w:hAnsi="Arial"/>
          <w:color w:val="000000" w:themeColor="text1"/>
          <w:sz w:val="26"/>
        </w:rPr>
        <w:t>Nausicaà</w:t>
      </w:r>
      <w:proofErr w:type="spellEnd"/>
      <w:r>
        <w:rPr>
          <w:rFonts w:ascii="Arial" w:hAnsi="Arial"/>
          <w:color w:val="000000" w:themeColor="text1"/>
          <w:sz w:val="26"/>
        </w:rPr>
        <w:t xml:space="preserve">. Elles ont l’habitude de sortir autour de l’enclos chaque matin, avant l’arrivée des visiteurs. Après avoir lâché les animaux dans les couloirs de l’aquarium, les soigneurs ont observé leurs réactions face aux poissons. Les deux manchots ont été intrigués par le plus grand des bassins… et effrayés par la raie </w:t>
      </w:r>
      <w:proofErr w:type="spellStart"/>
      <w:r>
        <w:rPr>
          <w:rFonts w:ascii="Arial" w:hAnsi="Arial"/>
          <w:color w:val="000000" w:themeColor="text1"/>
          <w:sz w:val="26"/>
        </w:rPr>
        <w:t>manta</w:t>
      </w:r>
      <w:proofErr w:type="spellEnd"/>
      <w:r>
        <w:rPr>
          <w:rFonts w:ascii="Arial" w:hAnsi="Arial"/>
          <w:color w:val="000000" w:themeColor="text1"/>
          <w:sz w:val="26"/>
        </w:rPr>
        <w:t xml:space="preserve">. </w:t>
      </w:r>
    </w:p>
    <w:tbl>
      <w:tblPr>
        <w:tblStyle w:val="Grille"/>
        <w:tblW w:w="0" w:type="auto"/>
        <w:tblLook w:val="00BF"/>
      </w:tblPr>
      <w:tblGrid>
        <w:gridCol w:w="1606"/>
        <w:gridCol w:w="1606"/>
        <w:gridCol w:w="1574"/>
        <w:gridCol w:w="1701"/>
        <w:gridCol w:w="1701"/>
        <w:gridCol w:w="1450"/>
      </w:tblGrid>
      <w:tr w:rsidR="00211DD7">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verbe</w:t>
            </w:r>
          </w:p>
        </w:tc>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infinitif</w:t>
            </w:r>
          </w:p>
        </w:tc>
        <w:tc>
          <w:tcPr>
            <w:tcW w:w="1574"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auxiliaire</w:t>
            </w: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bl>
    <w:p w:rsidR="00A5418F" w:rsidRDefault="00A5418F" w:rsidP="00211DD7">
      <w:pPr>
        <w:spacing w:line="360" w:lineRule="auto"/>
        <w:ind w:right="-6"/>
        <w:rPr>
          <w:rFonts w:ascii="Arial" w:hAnsi="Arial"/>
          <w:sz w:val="26"/>
        </w:rPr>
      </w:pPr>
    </w:p>
    <w:p w:rsidR="00211DD7" w:rsidRDefault="00211DD7" w:rsidP="00211DD7">
      <w:pPr>
        <w:spacing w:line="360" w:lineRule="auto"/>
        <w:ind w:right="-6"/>
        <w:rPr>
          <w:rFonts w:ascii="Arial" w:hAnsi="Arial"/>
          <w:sz w:val="26"/>
        </w:rPr>
      </w:pPr>
    </w:p>
    <w:tbl>
      <w:tblPr>
        <w:tblStyle w:val="Grille"/>
        <w:tblW w:w="0" w:type="auto"/>
        <w:tblLook w:val="00BF"/>
      </w:tblPr>
      <w:tblGrid>
        <w:gridCol w:w="1606"/>
        <w:gridCol w:w="1606"/>
        <w:gridCol w:w="1574"/>
        <w:gridCol w:w="1701"/>
        <w:gridCol w:w="1701"/>
        <w:gridCol w:w="1450"/>
      </w:tblGrid>
      <w:tr w:rsidR="00211DD7">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verbe</w:t>
            </w:r>
          </w:p>
        </w:tc>
        <w:tc>
          <w:tcPr>
            <w:tcW w:w="1606"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infinitif</w:t>
            </w:r>
          </w:p>
        </w:tc>
        <w:tc>
          <w:tcPr>
            <w:tcW w:w="1574"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211DD7" w:rsidRPr="00CD2EB9" w:rsidRDefault="00211DD7" w:rsidP="00CE1795">
            <w:pPr>
              <w:spacing w:line="360" w:lineRule="auto"/>
              <w:ind w:right="-6"/>
              <w:jc w:val="center"/>
              <w:rPr>
                <w:rFonts w:ascii="Arial" w:hAnsi="Arial"/>
                <w:b/>
                <w:sz w:val="26"/>
              </w:rPr>
            </w:pPr>
            <w:r w:rsidRPr="00CD2EB9">
              <w:rPr>
                <w:rFonts w:ascii="Arial" w:hAnsi="Arial"/>
                <w:b/>
                <w:sz w:val="26"/>
              </w:rPr>
              <w:t>auxiliaire</w:t>
            </w: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r w:rsidR="00211DD7">
        <w:tc>
          <w:tcPr>
            <w:tcW w:w="1606" w:type="dxa"/>
          </w:tcPr>
          <w:p w:rsidR="00211DD7" w:rsidRDefault="00211DD7" w:rsidP="00CE1795">
            <w:pPr>
              <w:spacing w:line="360" w:lineRule="auto"/>
              <w:ind w:left="-426" w:right="-6"/>
              <w:rPr>
                <w:rFonts w:ascii="Arial" w:hAnsi="Arial"/>
                <w:sz w:val="26"/>
              </w:rPr>
            </w:pPr>
          </w:p>
        </w:tc>
        <w:tc>
          <w:tcPr>
            <w:tcW w:w="1606" w:type="dxa"/>
          </w:tcPr>
          <w:p w:rsidR="00211DD7" w:rsidRDefault="00211DD7" w:rsidP="00CE1795">
            <w:pPr>
              <w:spacing w:line="360" w:lineRule="auto"/>
              <w:ind w:left="-426" w:right="-6"/>
              <w:rPr>
                <w:rFonts w:ascii="Arial" w:hAnsi="Arial"/>
                <w:sz w:val="26"/>
              </w:rPr>
            </w:pPr>
          </w:p>
        </w:tc>
        <w:tc>
          <w:tcPr>
            <w:tcW w:w="1574"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701" w:type="dxa"/>
          </w:tcPr>
          <w:p w:rsidR="00211DD7" w:rsidRDefault="00211DD7" w:rsidP="00CE1795">
            <w:pPr>
              <w:spacing w:line="360" w:lineRule="auto"/>
              <w:ind w:left="-426" w:right="-6"/>
              <w:rPr>
                <w:rFonts w:ascii="Arial" w:hAnsi="Arial"/>
                <w:sz w:val="26"/>
              </w:rPr>
            </w:pPr>
          </w:p>
        </w:tc>
        <w:tc>
          <w:tcPr>
            <w:tcW w:w="1450" w:type="dxa"/>
          </w:tcPr>
          <w:p w:rsidR="00211DD7" w:rsidRDefault="00211DD7" w:rsidP="00CE1795">
            <w:pPr>
              <w:spacing w:line="360" w:lineRule="auto"/>
              <w:ind w:left="-426" w:right="-6"/>
              <w:rPr>
                <w:rFonts w:ascii="Arial" w:hAnsi="Arial"/>
                <w:sz w:val="26"/>
              </w:rPr>
            </w:pPr>
          </w:p>
        </w:tc>
      </w:tr>
    </w:tbl>
    <w:p w:rsidR="00211DD7" w:rsidRPr="0052641E" w:rsidRDefault="00211DD7" w:rsidP="00211DD7">
      <w:pPr>
        <w:spacing w:line="360" w:lineRule="auto"/>
        <w:ind w:right="-6"/>
        <w:rPr>
          <w:rFonts w:ascii="Arial" w:hAnsi="Arial"/>
          <w:sz w:val="26"/>
        </w:rPr>
      </w:pPr>
    </w:p>
    <w:p w:rsidR="00CE1795" w:rsidRDefault="00CE1795"/>
    <w:sectPr w:rsidR="00CE1795" w:rsidSect="00CE1795">
      <w:type w:val="continuous"/>
      <w:pgSz w:w="11900" w:h="16840"/>
      <w:pgMar w:top="426" w:right="985" w:bottom="56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8D698A"/>
    <w:multiLevelType w:val="multilevel"/>
    <w:tmpl w:val="040C001D"/>
    <w:styleLink w:val="StyleA"/>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1DD7"/>
    <w:rsid w:val="00091DDD"/>
    <w:rsid w:val="00176B9C"/>
    <w:rsid w:val="001F2844"/>
    <w:rsid w:val="00211DD7"/>
    <w:rsid w:val="00232CCF"/>
    <w:rsid w:val="00250896"/>
    <w:rsid w:val="002C6879"/>
    <w:rsid w:val="004A58B5"/>
    <w:rsid w:val="004D59AD"/>
    <w:rsid w:val="0054066B"/>
    <w:rsid w:val="005565F8"/>
    <w:rsid w:val="007F5D81"/>
    <w:rsid w:val="00817208"/>
    <w:rsid w:val="00967316"/>
    <w:rsid w:val="00A5418F"/>
    <w:rsid w:val="00CC656A"/>
    <w:rsid w:val="00CE1795"/>
    <w:rsid w:val="00E60711"/>
    <w:rsid w:val="00F017F5"/>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D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numbering" w:customStyle="1" w:styleId="StyleA">
    <w:name w:val="StyleA"/>
    <w:rsid w:val="000251C6"/>
    <w:pPr>
      <w:numPr>
        <w:numId w:val="1"/>
      </w:numPr>
    </w:pPr>
  </w:style>
  <w:style w:type="table" w:styleId="Grille">
    <w:name w:val="Table Grid"/>
    <w:basedOn w:val="TableauNormal"/>
    <w:uiPriority w:val="59"/>
    <w:rsid w:val="00211DD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261</Words>
  <Characters>1221</Characters>
  <Application>Microsoft Word 12.0.0</Application>
  <DocSecurity>0</DocSecurity>
  <Lines>174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Cazaubon</dc:creator>
  <cp:keywords/>
  <dc:description/>
  <cp:lastModifiedBy>Mailys Cazaubon</cp:lastModifiedBy>
  <cp:revision>3</cp:revision>
  <cp:lastPrinted>2020-04-27T13:02:00Z</cp:lastPrinted>
  <dcterms:created xsi:type="dcterms:W3CDTF">2020-04-29T12:34:00Z</dcterms:created>
  <dcterms:modified xsi:type="dcterms:W3CDTF">2020-04-29T13:07:00Z</dcterms:modified>
  <cp:category/>
</cp:coreProperties>
</file>