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1DD7" w:rsidRPr="0052641E" w:rsidRDefault="00250896" w:rsidP="00211DD7">
      <w:pPr>
        <w:spacing w:line="360" w:lineRule="auto"/>
        <w:ind w:left="-426" w:right="-6"/>
        <w:rPr>
          <w:rFonts w:ascii="Arial" w:hAnsi="Arial"/>
          <w:b/>
          <w:sz w:val="26"/>
          <w:u w:val="single"/>
        </w:rPr>
      </w:pPr>
      <w:r>
        <w:rPr>
          <w:rFonts w:ascii="Arial" w:hAnsi="Arial"/>
          <w:b/>
          <w:sz w:val="26"/>
          <w:u w:val="single"/>
        </w:rPr>
        <w:t>Mardi 28</w:t>
      </w:r>
      <w:r w:rsidR="00211DD7">
        <w:rPr>
          <w:rFonts w:ascii="Arial" w:hAnsi="Arial"/>
          <w:b/>
          <w:sz w:val="26"/>
          <w:u w:val="single"/>
        </w:rPr>
        <w:t xml:space="preserve"> avril</w:t>
      </w:r>
      <w:r w:rsidR="00211DD7" w:rsidRPr="0052641E">
        <w:rPr>
          <w:rFonts w:ascii="Arial" w:hAnsi="Arial"/>
          <w:b/>
          <w:sz w:val="26"/>
          <w:u w:val="single"/>
        </w:rPr>
        <w:t xml:space="preserve"> 2020</w:t>
      </w:r>
    </w:p>
    <w:p w:rsidR="00211DD7" w:rsidRPr="0052641E" w:rsidRDefault="00211DD7" w:rsidP="00211DD7">
      <w:pPr>
        <w:spacing w:line="360" w:lineRule="auto"/>
        <w:ind w:left="-426" w:right="-425"/>
        <w:rPr>
          <w:rFonts w:ascii="Arial" w:hAnsi="Arial"/>
          <w:i/>
          <w:sz w:val="26"/>
        </w:rPr>
      </w:pPr>
      <w:r w:rsidRPr="0052641E">
        <w:rPr>
          <w:rFonts w:ascii="Arial" w:hAnsi="Arial"/>
          <w:b/>
          <w:sz w:val="26"/>
          <w:u w:val="single"/>
        </w:rPr>
        <w:t>Rituel français</w:t>
      </w:r>
      <w:r>
        <w:rPr>
          <w:rFonts w:ascii="Arial" w:hAnsi="Arial"/>
          <w:b/>
          <w:sz w:val="26"/>
        </w:rPr>
        <w:t xml:space="preserve"> (</w:t>
      </w:r>
      <w:r>
        <w:rPr>
          <w:rFonts w:ascii="Arial" w:hAnsi="Arial"/>
          <w:i/>
          <w:sz w:val="26"/>
        </w:rPr>
        <w:t xml:space="preserve">Source : phrases ou idées extraites de Mon quotidien du </w:t>
      </w:r>
      <w:r w:rsidR="00CE1795">
        <w:rPr>
          <w:rFonts w:ascii="Arial" w:hAnsi="Arial"/>
          <w:i/>
          <w:sz w:val="26"/>
        </w:rPr>
        <w:t>2</w:t>
      </w:r>
      <w:r w:rsidR="00250896">
        <w:rPr>
          <w:rFonts w:ascii="Arial" w:hAnsi="Arial"/>
          <w:i/>
          <w:sz w:val="26"/>
        </w:rPr>
        <w:t>5</w:t>
      </w:r>
      <w:r>
        <w:rPr>
          <w:rFonts w:ascii="Arial" w:hAnsi="Arial"/>
          <w:i/>
          <w:sz w:val="26"/>
        </w:rPr>
        <w:t xml:space="preserve"> avril). </w:t>
      </w:r>
    </w:p>
    <w:p w:rsidR="00211DD7" w:rsidRPr="0052641E" w:rsidRDefault="00211DD7" w:rsidP="00211DD7">
      <w:pPr>
        <w:ind w:left="-426" w:right="-6"/>
        <w:rPr>
          <w:rFonts w:ascii="Arial" w:hAnsi="Arial"/>
          <w:b/>
          <w:color w:val="FF0000"/>
          <w:sz w:val="26"/>
        </w:rPr>
      </w:pPr>
      <w:r w:rsidRPr="0052641E">
        <w:rPr>
          <w:rFonts w:ascii="Arial" w:hAnsi="Arial"/>
          <w:b/>
          <w:color w:val="FF0000"/>
          <w:sz w:val="26"/>
        </w:rPr>
        <w:t>Souligne les sujets en rouge (on parle de qui, de quoi ?)</w:t>
      </w:r>
    </w:p>
    <w:p w:rsidR="00211DD7" w:rsidRPr="0052641E" w:rsidRDefault="00211DD7" w:rsidP="00211DD7">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211DD7" w:rsidRPr="0052641E" w:rsidRDefault="00211DD7" w:rsidP="00211DD7">
      <w:pPr>
        <w:ind w:left="-426" w:right="-850"/>
        <w:rPr>
          <w:rFonts w:ascii="Arial" w:hAnsi="Arial"/>
          <w:b/>
          <w:sz w:val="26"/>
        </w:rPr>
      </w:pPr>
      <w:r w:rsidRPr="0052641E">
        <w:rPr>
          <w:rFonts w:ascii="Arial" w:hAnsi="Arial"/>
          <w:b/>
          <w:sz w:val="26"/>
        </w:rPr>
        <w:t>Souligne les adjectifs en noir (un mot qui décrit, précise, donne des informations)</w:t>
      </w:r>
    </w:p>
    <w:p w:rsidR="00211DD7" w:rsidRDefault="00211DD7" w:rsidP="00211DD7">
      <w:pPr>
        <w:ind w:left="-426"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211DD7" w:rsidRPr="00835859" w:rsidRDefault="00211DD7" w:rsidP="00211DD7">
      <w:pPr>
        <w:spacing w:after="0" w:line="360" w:lineRule="auto"/>
        <w:ind w:left="-425" w:right="-6"/>
        <w:rPr>
          <w:rFonts w:ascii="Arial" w:hAnsi="Arial"/>
          <w:color w:val="000000" w:themeColor="text1"/>
          <w:sz w:val="16"/>
        </w:rPr>
      </w:pPr>
    </w:p>
    <w:p w:rsidR="00250896" w:rsidRDefault="00250896" w:rsidP="005565F8">
      <w:pPr>
        <w:spacing w:line="360" w:lineRule="auto"/>
        <w:ind w:left="-425" w:right="-6"/>
        <w:rPr>
          <w:rFonts w:ascii="Arial" w:hAnsi="Arial"/>
          <w:color w:val="000000" w:themeColor="text1"/>
          <w:sz w:val="26"/>
        </w:rPr>
      </w:pPr>
      <w:r>
        <w:rPr>
          <w:rFonts w:ascii="Arial" w:hAnsi="Arial"/>
          <w:color w:val="000000" w:themeColor="text1"/>
          <w:sz w:val="26"/>
        </w:rPr>
        <w:t>Les adoptions des animaux reprennent.</w:t>
      </w:r>
    </w:p>
    <w:p w:rsidR="00250896" w:rsidRDefault="00250896" w:rsidP="005565F8">
      <w:pPr>
        <w:spacing w:line="360" w:lineRule="auto"/>
        <w:ind w:left="-425" w:right="-6"/>
        <w:rPr>
          <w:rFonts w:ascii="Arial" w:hAnsi="Arial"/>
          <w:color w:val="000000" w:themeColor="text1"/>
          <w:sz w:val="26"/>
        </w:rPr>
      </w:pPr>
      <w:r>
        <w:rPr>
          <w:rFonts w:ascii="Arial" w:hAnsi="Arial"/>
          <w:color w:val="000000" w:themeColor="text1"/>
          <w:sz w:val="26"/>
        </w:rPr>
        <w:t xml:space="preserve">C’est une bonne nouvelle pour les animaux. Depuis la semaine dernière, il est de nouveau possible d’adopter des chiens, des chats… à la SPA. L’association avait fermé ses refuges le 15 mars, et les adoptions étaient interdites, pour respecter le confinement. Or, il y avait toujours des abandons. Les refuges risquaient donc de ne plus avoir de place. Dans ce cas, les animaux « en trop » sont euthanasiés. Alerté, le gouvernement a autorisé les déplacements pour aller adopter un animal. </w:t>
      </w:r>
    </w:p>
    <w:p w:rsidR="00211DD7" w:rsidRPr="003D6BA0" w:rsidRDefault="00250896" w:rsidP="005565F8">
      <w:pPr>
        <w:spacing w:line="360" w:lineRule="auto"/>
        <w:ind w:left="-425" w:right="-6"/>
        <w:rPr>
          <w:rFonts w:ascii="Arial" w:hAnsi="Arial"/>
          <w:color w:val="000000" w:themeColor="text1"/>
          <w:sz w:val="26"/>
        </w:rPr>
        <w:sectPr w:rsidR="00211DD7" w:rsidRPr="003D6BA0">
          <w:pgSz w:w="11900" w:h="16840"/>
          <w:pgMar w:top="426" w:right="985" w:bottom="284" w:left="1417" w:header="708" w:footer="708" w:gutter="0"/>
          <w:cols w:space="708"/>
        </w:sectPr>
      </w:pPr>
      <w:r>
        <w:rPr>
          <w:rFonts w:ascii="Arial" w:hAnsi="Arial"/>
          <w:color w:val="000000" w:themeColor="text1"/>
          <w:sz w:val="26"/>
        </w:rPr>
        <w:t xml:space="preserve">Des précautions doivent cependant être prises. On ne peut pas aller dans un refuge et de s’y promener pour choisir le chat ou le chien nous plaisant le plus. La première étape consiste à choisir son futur animal sur le site Internet de la SPA. </w:t>
      </w:r>
    </w:p>
    <w:tbl>
      <w:tblPr>
        <w:tblStyle w:val="Grille"/>
        <w:tblW w:w="0" w:type="auto"/>
        <w:tblLook w:val="00BF"/>
      </w:tblPr>
      <w:tblGrid>
        <w:gridCol w:w="1606"/>
        <w:gridCol w:w="1606"/>
        <w:gridCol w:w="1574"/>
        <w:gridCol w:w="1701"/>
        <w:gridCol w:w="1701"/>
        <w:gridCol w:w="1450"/>
      </w:tblGrid>
      <w:tr w:rsidR="00211DD7">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verbe</w:t>
            </w:r>
          </w:p>
        </w:tc>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infinitif</w:t>
            </w:r>
          </w:p>
        </w:tc>
        <w:tc>
          <w:tcPr>
            <w:tcW w:w="1574"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auxiliaire</w:t>
            </w: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bl>
    <w:p w:rsidR="00A5418F" w:rsidRDefault="00A5418F" w:rsidP="00211DD7">
      <w:pPr>
        <w:spacing w:line="360" w:lineRule="auto"/>
        <w:ind w:right="-6"/>
        <w:rPr>
          <w:rFonts w:ascii="Arial" w:hAnsi="Arial"/>
          <w:sz w:val="26"/>
        </w:rPr>
      </w:pPr>
    </w:p>
    <w:p w:rsidR="00211DD7" w:rsidRDefault="00211DD7" w:rsidP="00211DD7">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211DD7">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verbe</w:t>
            </w:r>
          </w:p>
        </w:tc>
        <w:tc>
          <w:tcPr>
            <w:tcW w:w="1606"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infinitif</w:t>
            </w:r>
          </w:p>
        </w:tc>
        <w:tc>
          <w:tcPr>
            <w:tcW w:w="1574"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211DD7" w:rsidRPr="00CD2EB9" w:rsidRDefault="00211DD7" w:rsidP="00CE1795">
            <w:pPr>
              <w:spacing w:line="360" w:lineRule="auto"/>
              <w:ind w:right="-6"/>
              <w:jc w:val="center"/>
              <w:rPr>
                <w:rFonts w:ascii="Arial" w:hAnsi="Arial"/>
                <w:b/>
                <w:sz w:val="26"/>
              </w:rPr>
            </w:pPr>
            <w:r w:rsidRPr="00CD2EB9">
              <w:rPr>
                <w:rFonts w:ascii="Arial" w:hAnsi="Arial"/>
                <w:b/>
                <w:sz w:val="26"/>
              </w:rPr>
              <w:t>auxiliaire</w:t>
            </w: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r w:rsidR="00211DD7">
        <w:tc>
          <w:tcPr>
            <w:tcW w:w="1606" w:type="dxa"/>
          </w:tcPr>
          <w:p w:rsidR="00211DD7" w:rsidRDefault="00211DD7" w:rsidP="00CE1795">
            <w:pPr>
              <w:spacing w:line="360" w:lineRule="auto"/>
              <w:ind w:left="-426" w:right="-6"/>
              <w:rPr>
                <w:rFonts w:ascii="Arial" w:hAnsi="Arial"/>
                <w:sz w:val="26"/>
              </w:rPr>
            </w:pPr>
          </w:p>
        </w:tc>
        <w:tc>
          <w:tcPr>
            <w:tcW w:w="1606" w:type="dxa"/>
          </w:tcPr>
          <w:p w:rsidR="00211DD7" w:rsidRDefault="00211DD7" w:rsidP="00CE1795">
            <w:pPr>
              <w:spacing w:line="360" w:lineRule="auto"/>
              <w:ind w:left="-426" w:right="-6"/>
              <w:rPr>
                <w:rFonts w:ascii="Arial" w:hAnsi="Arial"/>
                <w:sz w:val="26"/>
              </w:rPr>
            </w:pPr>
          </w:p>
        </w:tc>
        <w:tc>
          <w:tcPr>
            <w:tcW w:w="1574"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701" w:type="dxa"/>
          </w:tcPr>
          <w:p w:rsidR="00211DD7" w:rsidRDefault="00211DD7" w:rsidP="00CE1795">
            <w:pPr>
              <w:spacing w:line="360" w:lineRule="auto"/>
              <w:ind w:left="-426" w:right="-6"/>
              <w:rPr>
                <w:rFonts w:ascii="Arial" w:hAnsi="Arial"/>
                <w:sz w:val="26"/>
              </w:rPr>
            </w:pPr>
          </w:p>
        </w:tc>
        <w:tc>
          <w:tcPr>
            <w:tcW w:w="1450" w:type="dxa"/>
          </w:tcPr>
          <w:p w:rsidR="00211DD7" w:rsidRDefault="00211DD7" w:rsidP="00CE1795">
            <w:pPr>
              <w:spacing w:line="360" w:lineRule="auto"/>
              <w:ind w:left="-426" w:right="-6"/>
              <w:rPr>
                <w:rFonts w:ascii="Arial" w:hAnsi="Arial"/>
                <w:sz w:val="26"/>
              </w:rPr>
            </w:pPr>
          </w:p>
        </w:tc>
      </w:tr>
    </w:tbl>
    <w:p w:rsidR="00211DD7" w:rsidRPr="0052641E" w:rsidRDefault="00211DD7" w:rsidP="00211DD7">
      <w:pPr>
        <w:spacing w:line="360" w:lineRule="auto"/>
        <w:ind w:right="-6"/>
        <w:rPr>
          <w:rFonts w:ascii="Arial" w:hAnsi="Arial"/>
          <w:sz w:val="26"/>
        </w:rPr>
      </w:pPr>
    </w:p>
    <w:p w:rsidR="00CE1795" w:rsidRDefault="00CE1795"/>
    <w:sectPr w:rsidR="00CE1795" w:rsidSect="00CE1795">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1DD7"/>
    <w:rsid w:val="00091DDD"/>
    <w:rsid w:val="00176B9C"/>
    <w:rsid w:val="00211DD7"/>
    <w:rsid w:val="00232CCF"/>
    <w:rsid w:val="00250896"/>
    <w:rsid w:val="002C6879"/>
    <w:rsid w:val="0054066B"/>
    <w:rsid w:val="005565F8"/>
    <w:rsid w:val="00817208"/>
    <w:rsid w:val="00967316"/>
    <w:rsid w:val="00A5418F"/>
    <w:rsid w:val="00CE1795"/>
    <w:rsid w:val="00E60711"/>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D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211DD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252</Words>
  <Characters>1239</Characters>
  <Application>Microsoft Word 12.0.0</Application>
  <DocSecurity>0</DocSecurity>
  <Lines>175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3</cp:revision>
  <cp:lastPrinted>2020-04-21T11:47:00Z</cp:lastPrinted>
  <dcterms:created xsi:type="dcterms:W3CDTF">2020-04-27T12:52:00Z</dcterms:created>
  <dcterms:modified xsi:type="dcterms:W3CDTF">2020-04-27T13:02:00Z</dcterms:modified>
  <cp:category/>
</cp:coreProperties>
</file>