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B9668" w14:textId="77777777" w:rsidR="00A157F2" w:rsidRDefault="00A157F2">
      <w:pPr>
        <w:rPr>
          <w:rFonts w:ascii="Arial" w:hAnsi="Arial" w:cs="Arial"/>
          <w:b/>
          <w:bCs/>
          <w:sz w:val="24"/>
          <w:szCs w:val="24"/>
        </w:rPr>
      </w:pPr>
    </w:p>
    <w:p w14:paraId="3A6FD551" w14:textId="21342928" w:rsidR="00405474" w:rsidRDefault="00405474">
      <w:pPr>
        <w:rPr>
          <w:rFonts w:ascii="Arial" w:hAnsi="Arial" w:cs="Arial"/>
          <w:b/>
          <w:bCs/>
          <w:sz w:val="24"/>
          <w:szCs w:val="24"/>
        </w:rPr>
      </w:pPr>
      <w:r w:rsidRPr="00405474">
        <w:rPr>
          <w:rFonts w:ascii="Arial" w:hAnsi="Arial" w:cs="Arial"/>
          <w:b/>
          <w:bCs/>
          <w:sz w:val="24"/>
          <w:szCs w:val="24"/>
        </w:rPr>
        <w:t>Soliman le Magnifique, 2</w:t>
      </w:r>
      <w:r w:rsidRPr="00405474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 w:rsidRPr="00405474">
        <w:rPr>
          <w:rFonts w:ascii="Arial" w:hAnsi="Arial" w:cs="Arial"/>
          <w:b/>
          <w:bCs/>
          <w:sz w:val="24"/>
          <w:szCs w:val="24"/>
        </w:rPr>
        <w:t xml:space="preserve"> partie</w:t>
      </w:r>
    </w:p>
    <w:p w14:paraId="03A4051E" w14:textId="36016231" w:rsidR="00405474" w:rsidRPr="00065FCD" w:rsidRDefault="00013280" w:rsidP="00065FCD">
      <w:pPr>
        <w:pStyle w:val="Sansinterligne"/>
        <w:rPr>
          <w:rFonts w:ascii="Arial" w:hAnsi="Arial" w:cs="Arial"/>
          <w:sz w:val="24"/>
          <w:szCs w:val="24"/>
        </w:rPr>
      </w:pPr>
      <w:r w:rsidRPr="00135AE9">
        <w:rPr>
          <w:noProof/>
        </w:rPr>
        <w:drawing>
          <wp:anchor distT="0" distB="0" distL="114300" distR="114300" simplePos="0" relativeHeight="251658240" behindDoc="0" locked="0" layoutInCell="1" allowOverlap="1" wp14:anchorId="2AB29D65" wp14:editId="7E345F1E">
            <wp:simplePos x="0" y="0"/>
            <wp:positionH relativeFrom="column">
              <wp:posOffset>-236220</wp:posOffset>
            </wp:positionH>
            <wp:positionV relativeFrom="paragraph">
              <wp:posOffset>304165</wp:posOffset>
            </wp:positionV>
            <wp:extent cx="2364105" cy="1963420"/>
            <wp:effectExtent l="0" t="0" r="0" b="0"/>
            <wp:wrapSquare wrapText="bothSides"/>
            <wp:docPr id="8" name="Image 8" descr="The Tugra, or imperial monogram, of Suleiman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Tugra, or imperial monogram, of Suleiman th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AE9" w:rsidRPr="00065FCD">
        <w:rPr>
          <w:rFonts w:ascii="Arial" w:hAnsi="Arial" w:cs="Arial"/>
          <w:sz w:val="24"/>
          <w:szCs w:val="24"/>
        </w:rPr>
        <w:t xml:space="preserve">Les décrets impériaux portent la </w:t>
      </w:r>
      <w:proofErr w:type="spellStart"/>
      <w:r w:rsidR="00135AE9" w:rsidRPr="00E42D01">
        <w:rPr>
          <w:rFonts w:ascii="Arial" w:hAnsi="Arial" w:cs="Arial"/>
          <w:b/>
          <w:bCs/>
          <w:sz w:val="24"/>
          <w:szCs w:val="24"/>
        </w:rPr>
        <w:t>tughra</w:t>
      </w:r>
      <w:proofErr w:type="spellEnd"/>
      <w:r w:rsidR="00135AE9" w:rsidRPr="00E42D01">
        <w:rPr>
          <w:rFonts w:ascii="Arial" w:hAnsi="Arial" w:cs="Arial"/>
          <w:b/>
          <w:bCs/>
          <w:sz w:val="24"/>
          <w:szCs w:val="24"/>
        </w:rPr>
        <w:t>,</w:t>
      </w:r>
      <w:r w:rsidR="00135AE9" w:rsidRPr="00065FCD">
        <w:rPr>
          <w:rFonts w:ascii="Arial" w:hAnsi="Arial" w:cs="Arial"/>
          <w:sz w:val="24"/>
          <w:szCs w:val="24"/>
        </w:rPr>
        <w:t xml:space="preserve"> à la fois sceau </w:t>
      </w:r>
      <w:r w:rsidR="00AA170E" w:rsidRPr="00065FCD">
        <w:rPr>
          <w:rFonts w:ascii="Arial" w:hAnsi="Arial" w:cs="Arial"/>
          <w:sz w:val="24"/>
          <w:szCs w:val="24"/>
        </w:rPr>
        <w:t>et monogramme</w:t>
      </w:r>
      <w:r w:rsidR="0078492B">
        <w:rPr>
          <w:rFonts w:ascii="Arial" w:hAnsi="Arial" w:cs="Arial"/>
          <w:sz w:val="24"/>
          <w:szCs w:val="24"/>
        </w:rPr>
        <w:t xml:space="preserve"> </w:t>
      </w:r>
      <w:r w:rsidR="007F5F6E">
        <w:rPr>
          <w:rFonts w:ascii="Arial" w:hAnsi="Arial" w:cs="Arial"/>
          <w:sz w:val="24"/>
          <w:szCs w:val="24"/>
        </w:rPr>
        <w:t xml:space="preserve">( </w:t>
      </w:r>
      <w:r w:rsidR="00D44FC2">
        <w:rPr>
          <w:rFonts w:ascii="Arial" w:hAnsi="Arial" w:cs="Arial"/>
          <w:sz w:val="24"/>
          <w:szCs w:val="24"/>
        </w:rPr>
        <w:t xml:space="preserve">marque) </w:t>
      </w:r>
      <w:r w:rsidR="00AA170E" w:rsidRPr="00065FCD">
        <w:rPr>
          <w:rFonts w:ascii="Arial" w:hAnsi="Arial" w:cs="Arial"/>
          <w:sz w:val="24"/>
          <w:szCs w:val="24"/>
        </w:rPr>
        <w:t xml:space="preserve"> du sultan. </w:t>
      </w:r>
    </w:p>
    <w:p w14:paraId="171F2F18" w14:textId="1B5B0138" w:rsidR="00AA170E" w:rsidRDefault="00AA170E" w:rsidP="00065FCD">
      <w:pPr>
        <w:pStyle w:val="Sansinterligne"/>
        <w:rPr>
          <w:rFonts w:ascii="Arial" w:hAnsi="Arial" w:cs="Arial"/>
          <w:sz w:val="24"/>
          <w:szCs w:val="24"/>
        </w:rPr>
      </w:pPr>
      <w:r w:rsidRPr="00065FCD">
        <w:rPr>
          <w:rFonts w:ascii="Arial" w:hAnsi="Arial" w:cs="Arial"/>
          <w:sz w:val="24"/>
          <w:szCs w:val="24"/>
        </w:rPr>
        <w:t>Les larges boucles placées à gauche</w:t>
      </w:r>
      <w:r w:rsidR="00D76DF5" w:rsidRPr="00065FCD">
        <w:rPr>
          <w:rFonts w:ascii="Arial" w:hAnsi="Arial" w:cs="Arial"/>
          <w:sz w:val="24"/>
          <w:szCs w:val="24"/>
        </w:rPr>
        <w:t xml:space="preserve"> du nom symbolisent les deux mers : la mer Noire et la Méditerranée. </w:t>
      </w:r>
      <w:r w:rsidR="00490175" w:rsidRPr="00065FCD">
        <w:rPr>
          <w:rFonts w:ascii="Arial" w:hAnsi="Arial" w:cs="Arial"/>
          <w:sz w:val="24"/>
          <w:szCs w:val="24"/>
        </w:rPr>
        <w:t xml:space="preserve">Les trois hampes allongées en haut de la </w:t>
      </w:r>
      <w:proofErr w:type="spellStart"/>
      <w:r w:rsidR="00490175" w:rsidRPr="00065FCD">
        <w:rPr>
          <w:rFonts w:ascii="Arial" w:hAnsi="Arial" w:cs="Arial"/>
          <w:sz w:val="24"/>
          <w:szCs w:val="24"/>
        </w:rPr>
        <w:t>tughra</w:t>
      </w:r>
      <w:proofErr w:type="spellEnd"/>
      <w:r w:rsidR="00A94043" w:rsidRPr="00065FCD">
        <w:rPr>
          <w:rFonts w:ascii="Arial" w:hAnsi="Arial" w:cs="Arial"/>
          <w:sz w:val="24"/>
          <w:szCs w:val="24"/>
        </w:rPr>
        <w:t xml:space="preserve"> symbolisent le vent. La </w:t>
      </w:r>
      <w:proofErr w:type="spellStart"/>
      <w:r w:rsidR="00A94043" w:rsidRPr="00065FCD">
        <w:rPr>
          <w:rFonts w:ascii="Arial" w:hAnsi="Arial" w:cs="Arial"/>
          <w:sz w:val="24"/>
          <w:szCs w:val="24"/>
        </w:rPr>
        <w:t>sere</w:t>
      </w:r>
      <w:proofErr w:type="spellEnd"/>
      <w:r w:rsidR="00A94043" w:rsidRPr="00065FCD">
        <w:rPr>
          <w:rFonts w:ascii="Arial" w:hAnsi="Arial" w:cs="Arial"/>
          <w:sz w:val="24"/>
          <w:szCs w:val="24"/>
        </w:rPr>
        <w:t xml:space="preserve">, </w:t>
      </w:r>
      <w:r w:rsidR="007F65E4" w:rsidRPr="00065FCD">
        <w:rPr>
          <w:rFonts w:ascii="Arial" w:hAnsi="Arial" w:cs="Arial"/>
          <w:sz w:val="24"/>
          <w:szCs w:val="24"/>
        </w:rPr>
        <w:t xml:space="preserve">placée dans la partie basse est composée des lettres principales du sultan accompagnées de la formule </w:t>
      </w:r>
      <w:r w:rsidR="0047323D" w:rsidRPr="00065FCD">
        <w:rPr>
          <w:rFonts w:ascii="Arial" w:hAnsi="Arial" w:cs="Arial"/>
          <w:sz w:val="24"/>
          <w:szCs w:val="24"/>
        </w:rPr>
        <w:t>le « Toujours Victorieux. »</w:t>
      </w:r>
    </w:p>
    <w:p w14:paraId="0D4A769F" w14:textId="342318A5" w:rsidR="00C02F96" w:rsidRDefault="00C02F96" w:rsidP="00065FCD">
      <w:pPr>
        <w:pStyle w:val="Sansinterligne"/>
        <w:rPr>
          <w:rFonts w:ascii="Arial" w:hAnsi="Arial" w:cs="Arial"/>
          <w:sz w:val="24"/>
          <w:szCs w:val="24"/>
        </w:rPr>
      </w:pPr>
    </w:p>
    <w:p w14:paraId="41753CDF" w14:textId="6ED3545B" w:rsidR="00C02F96" w:rsidRDefault="00C02F96" w:rsidP="00065FCD">
      <w:pPr>
        <w:pStyle w:val="Sansinterligne"/>
        <w:rPr>
          <w:rFonts w:ascii="Arial" w:hAnsi="Arial" w:cs="Arial"/>
          <w:sz w:val="24"/>
          <w:szCs w:val="24"/>
        </w:rPr>
      </w:pPr>
      <w:r w:rsidRPr="006D2C7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Sous l'influence de Soliman, l'Empire ottoman entra dans un âge d'or </w:t>
      </w:r>
      <w:hyperlink r:id="rId5" w:tooltip="Culture de l'Empire ottoman" w:history="1">
        <w:r w:rsidRPr="006D2C71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culturel</w:t>
        </w:r>
      </w:hyperlink>
      <w:r w:rsidRPr="006D2C7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. Des centaines de sociétés artistiques impériales « communauté des Talentueux » étaient administrées depuis le </w:t>
      </w:r>
      <w:hyperlink r:id="rId6" w:tooltip="Palais de Topkapı" w:history="1">
        <w:r w:rsidRPr="006D2C71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 xml:space="preserve">palais impérial de </w:t>
        </w:r>
        <w:proofErr w:type="spellStart"/>
        <w:r w:rsidRPr="006D2C71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Topkapı</w:t>
        </w:r>
        <w:proofErr w:type="spellEnd"/>
      </w:hyperlink>
      <w:r w:rsidRPr="006D2C7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.</w:t>
      </w:r>
      <w:r w:rsidRPr="00E5475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 : </w:t>
      </w:r>
      <w:r w:rsidRPr="006D2C7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peintres, des</w:t>
      </w:r>
      <w:r w:rsidR="008C1D0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fourreurs, des bijoutiers et des orfèvres. </w:t>
      </w:r>
    </w:p>
    <w:p w14:paraId="5983019A" w14:textId="7341F3D9" w:rsidR="00013280" w:rsidRDefault="00013280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3FBA545C" w14:textId="4434B5DB" w:rsidR="00CE1D55" w:rsidRDefault="00A157F2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FCFC06" wp14:editId="71E9600A">
            <wp:simplePos x="0" y="0"/>
            <wp:positionH relativeFrom="column">
              <wp:posOffset>81280</wp:posOffset>
            </wp:positionH>
            <wp:positionV relativeFrom="paragraph">
              <wp:posOffset>44450</wp:posOffset>
            </wp:positionV>
            <wp:extent cx="2824480" cy="1880870"/>
            <wp:effectExtent l="0" t="0" r="0" b="5080"/>
            <wp:wrapSquare wrapText="bothSides"/>
            <wp:docPr id="2" name="Image 2" descr="series | shazawa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ies | shazawali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772" w:rsidRPr="006D2C7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r w:rsidR="00CE1D55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La mosquée possède </w:t>
      </w:r>
      <w:r w:rsidR="00DD4840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quatre minarets pour rappeler que Soliman est le </w:t>
      </w:r>
      <w:r w:rsidR="002D734E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4</w:t>
      </w:r>
      <w:r w:rsidR="002D734E" w:rsidRPr="002D734E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fr-FR"/>
        </w:rPr>
        <w:t>ème</w:t>
      </w:r>
      <w:r w:rsidR="002D734E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sultan depuis la conquête de Constantinople</w:t>
      </w:r>
      <w:r w:rsidR="00964CD5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en 1</w:t>
      </w:r>
      <w:r w:rsidR="003A4FE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 </w:t>
      </w:r>
      <w:r w:rsidR="00964CD5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453.</w:t>
      </w:r>
    </w:p>
    <w:p w14:paraId="1FC2EF71" w14:textId="1468795A" w:rsidR="003A4FE2" w:rsidRDefault="003A4FE2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0704271F" w14:textId="455D974B" w:rsidR="003A4FE2" w:rsidRDefault="003A4FE2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3281F994" w14:textId="77777777" w:rsidR="003A4FE2" w:rsidRDefault="003A4FE2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3488E4D4" w14:textId="31C97A4F" w:rsidR="00240508" w:rsidRDefault="00240508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0132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 xml:space="preserve">Mosquée la </w:t>
      </w:r>
      <w:proofErr w:type="spellStart"/>
      <w:r w:rsidRPr="000132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>Süleymaniye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à Istanbul, un des 318 ouvrages de l’architecte impérial Sinan. </w:t>
      </w:r>
    </w:p>
    <w:p w14:paraId="25E74DEE" w14:textId="7B8F5899" w:rsidR="005137D0" w:rsidRDefault="005137D0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4546ED21" w14:textId="6587FA42" w:rsidR="00FC7273" w:rsidRDefault="003C3828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Le complexe de la </w:t>
      </w:r>
      <w:proofErr w:type="spellStart"/>
      <w:r w:rsidRPr="003C382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Süleymaniye</w:t>
      </w:r>
      <w:proofErr w:type="spellEnd"/>
      <w:r w:rsidRPr="003C382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( à la fois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="00600723" w:rsidRPr="00600723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mosquée, madrasas</w:t>
      </w:r>
      <w:r w:rsidR="000A2B2E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pour la formation des fonctionnaires de l’empire, </w:t>
      </w:r>
      <w:r w:rsidR="00600723" w:rsidRPr="00600723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hôpital et soupe populaire</w:t>
      </w:r>
      <w:r w:rsidR="00A1618F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) devait </w:t>
      </w:r>
      <w:r w:rsidR="00005D4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à la fois </w:t>
      </w:r>
      <w:r w:rsidR="009264A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montrer la générosité du sultan et perpétuer sa mémoire. </w:t>
      </w:r>
    </w:p>
    <w:p w14:paraId="2C989284" w14:textId="77777777" w:rsidR="00D44FC2" w:rsidRPr="00600723" w:rsidRDefault="00D44FC2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25DC4624" w14:textId="37258CAE" w:rsidR="005137D0" w:rsidRPr="00D44FC2" w:rsidRDefault="005137D0" w:rsidP="00D44FC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D44FC2">
        <w:rPr>
          <w:noProof/>
        </w:rPr>
        <w:drawing>
          <wp:inline distT="0" distB="0" distL="0" distR="0" wp14:anchorId="09A00C37" wp14:editId="29D6A1DE">
            <wp:extent cx="3548638" cy="157289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468" cy="158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92A39" w14:textId="0DBDB545" w:rsidR="00F72E22" w:rsidRPr="00D44FC2" w:rsidRDefault="00F84CE2" w:rsidP="00D44FC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  <w:r w:rsidRPr="00D44F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>Carrelage dans la cour de la mosquée</w:t>
      </w:r>
    </w:p>
    <w:p w14:paraId="41DFD210" w14:textId="428A79EB" w:rsidR="0051634B" w:rsidRDefault="0051634B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fr-FR"/>
        </w:rPr>
      </w:pPr>
    </w:p>
    <w:p w14:paraId="2C7BE022" w14:textId="77777777" w:rsidR="005F7FC8" w:rsidRDefault="005F7FC8" w:rsidP="004E0AB5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14:paraId="5573F87F" w14:textId="00E00065" w:rsidR="0051634B" w:rsidRPr="004E0AB5" w:rsidRDefault="0051634B" w:rsidP="004E0AB5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 w:rsidRPr="004E0AB5">
        <w:rPr>
          <w:rFonts w:ascii="Arial" w:hAnsi="Arial" w:cs="Arial"/>
          <w:sz w:val="24"/>
          <w:szCs w:val="24"/>
          <w:lang w:eastAsia="fr-FR"/>
        </w:rPr>
        <w:t xml:space="preserve">Soliman n’apporta en revanche </w:t>
      </w:r>
      <w:r w:rsidR="009B38F2" w:rsidRPr="004E0AB5">
        <w:rPr>
          <w:rFonts w:ascii="Arial" w:hAnsi="Arial" w:cs="Arial"/>
          <w:sz w:val="24"/>
          <w:szCs w:val="24"/>
          <w:lang w:eastAsia="fr-FR"/>
        </w:rPr>
        <w:t xml:space="preserve">que des aménagements mineurs au Nouveau Palais ( Topkapi ) </w:t>
      </w:r>
      <w:r w:rsidR="00757476" w:rsidRPr="004E0AB5">
        <w:rPr>
          <w:rFonts w:ascii="Arial" w:hAnsi="Arial" w:cs="Arial"/>
          <w:sz w:val="24"/>
          <w:szCs w:val="24"/>
          <w:lang w:eastAsia="fr-FR"/>
        </w:rPr>
        <w:t xml:space="preserve">son unique résidence tout au long de son règne. Il fit reconstruire la salle du </w:t>
      </w:r>
      <w:r w:rsidR="006F7CFB" w:rsidRPr="004E0AB5">
        <w:rPr>
          <w:rFonts w:ascii="Arial" w:hAnsi="Arial" w:cs="Arial"/>
          <w:sz w:val="24"/>
          <w:szCs w:val="24"/>
          <w:lang w:eastAsia="fr-FR"/>
        </w:rPr>
        <w:t xml:space="preserve">Conseil où se réunissaient ses ministres qu’il surveillait du haut d’une fenêtre </w:t>
      </w:r>
      <w:r w:rsidR="00707D64" w:rsidRPr="004E0AB5">
        <w:rPr>
          <w:rFonts w:ascii="Arial" w:hAnsi="Arial" w:cs="Arial"/>
          <w:sz w:val="24"/>
          <w:szCs w:val="24"/>
          <w:lang w:eastAsia="fr-FR"/>
        </w:rPr>
        <w:t xml:space="preserve">accessible depuis ses appartements privés. C’est là également qu’il recevait avec </w:t>
      </w:r>
      <w:r w:rsidR="00D26D8F" w:rsidRPr="004E0AB5">
        <w:rPr>
          <w:rFonts w:ascii="Arial" w:hAnsi="Arial" w:cs="Arial"/>
          <w:sz w:val="24"/>
          <w:szCs w:val="24"/>
          <w:lang w:eastAsia="fr-FR"/>
        </w:rPr>
        <w:t xml:space="preserve">beaucoup de luxe les ambassadeurs étrangers. </w:t>
      </w:r>
    </w:p>
    <w:p w14:paraId="7C3524A9" w14:textId="711A010E" w:rsidR="00F070A6" w:rsidRDefault="00F070A6" w:rsidP="004E0AB5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 w:rsidRPr="004E0AB5">
        <w:rPr>
          <w:rFonts w:ascii="Arial" w:hAnsi="Arial" w:cs="Arial"/>
          <w:sz w:val="24"/>
          <w:szCs w:val="24"/>
          <w:lang w:eastAsia="fr-FR"/>
        </w:rPr>
        <w:t xml:space="preserve">Véritable ville dans la ville, le sérail comptait plusieurs milliers </w:t>
      </w:r>
      <w:r w:rsidR="006A34DC" w:rsidRPr="004E0AB5">
        <w:rPr>
          <w:rFonts w:ascii="Arial" w:hAnsi="Arial" w:cs="Arial"/>
          <w:sz w:val="24"/>
          <w:szCs w:val="24"/>
          <w:lang w:eastAsia="fr-FR"/>
        </w:rPr>
        <w:t xml:space="preserve">de résidents parmi lesquels les sept cents serviteurs des appartements </w:t>
      </w:r>
      <w:r w:rsidR="004E0AB5" w:rsidRPr="004E0AB5">
        <w:rPr>
          <w:rFonts w:ascii="Arial" w:hAnsi="Arial" w:cs="Arial"/>
          <w:sz w:val="24"/>
          <w:szCs w:val="24"/>
          <w:lang w:eastAsia="fr-FR"/>
        </w:rPr>
        <w:t xml:space="preserve">privés du palais. </w:t>
      </w:r>
    </w:p>
    <w:p w14:paraId="0DA773BE" w14:textId="6C100B06" w:rsidR="005F7FC8" w:rsidRDefault="005F7FC8" w:rsidP="004E0AB5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14:paraId="3E83DE90" w14:textId="63FE1E0A" w:rsidR="005F7FC8" w:rsidRDefault="005F7FC8" w:rsidP="004E0AB5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14:paraId="26D35CC5" w14:textId="159AC411" w:rsidR="005F7FC8" w:rsidRDefault="005F7FC8" w:rsidP="004E0AB5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14:paraId="6D607320" w14:textId="282D803F" w:rsidR="005F7FC8" w:rsidRDefault="005F7FC8" w:rsidP="004E0AB5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14:paraId="749DC0D5" w14:textId="62FBA450" w:rsidR="005F7FC8" w:rsidRDefault="005F7FC8" w:rsidP="004E0AB5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14:paraId="6ADB717E" w14:textId="7F9DE635" w:rsidR="005F7FC8" w:rsidRDefault="005F7FC8" w:rsidP="004E0AB5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14:paraId="67956DC5" w14:textId="6AA11BC5" w:rsidR="005F7FC8" w:rsidRDefault="005F7FC8" w:rsidP="004E0AB5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14:paraId="6FEC3759" w14:textId="2F9F011E" w:rsidR="004E0AB5" w:rsidRDefault="004E0AB5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01FAB01F" w14:textId="4EA7E037" w:rsidR="004E0AB5" w:rsidRDefault="00797D93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  <w:r w:rsidRPr="00797D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>Vieillesse et mort du Magnifique</w:t>
      </w:r>
    </w:p>
    <w:p w14:paraId="22CF10F8" w14:textId="5F1A4A9A" w:rsidR="00604D3A" w:rsidRDefault="00344C71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344C7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La mort de Roxelane suivie de l’affrontement de ses deux fils</w:t>
      </w:r>
      <w:r w:rsidR="005449D0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Selim et Bayezid</w:t>
      </w:r>
      <w:r w:rsidR="0054696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r w:rsidR="005318E0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(ce dernier fut exécuté </w:t>
      </w:r>
      <w:r w:rsidR="0004411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ainsi que toute sa descendance) </w:t>
      </w:r>
      <w:r w:rsidR="00E919F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bouleversèrent la vie de Soliman. Il ordonna de brûler tous les instruments de musique du palais</w:t>
      </w:r>
      <w:r w:rsidR="003246A0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, il fit remplacer la vaisselle de Chine par de simples plats en terre. </w:t>
      </w:r>
      <w:r w:rsidR="00D73F9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Il continua cependant à maquiller ses joues de rouge pour faire taire les rumeurs sur sa santé. </w:t>
      </w:r>
      <w:r w:rsidR="00FE2FE5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Il ne lui restait qu’un fils, Selim </w:t>
      </w:r>
      <w:r w:rsidR="00485616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obèse, ivrogne </w:t>
      </w:r>
      <w:r w:rsidR="00B93EE9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en qui il était difficile de voir un héritier.</w:t>
      </w:r>
    </w:p>
    <w:p w14:paraId="30F11261" w14:textId="7E2EE43C" w:rsidR="00B93841" w:rsidRDefault="00B93EE9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r w:rsidR="002B016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C’est sous une tente</w:t>
      </w:r>
      <w:r w:rsidR="00185B69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, </w:t>
      </w:r>
      <w:r w:rsidR="002B016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alors qu’il a repris une fois de plus </w:t>
      </w:r>
      <w:r w:rsidR="00FB4F97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le chemin de la Hongrie</w:t>
      </w:r>
      <w:r w:rsidR="00185B69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, </w:t>
      </w:r>
      <w:r w:rsidR="00FB4F97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que meurt Soliman</w:t>
      </w:r>
      <w:r w:rsidR="00EB2AD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.</w:t>
      </w:r>
      <w:r w:rsidR="003522E9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Sa mort sera cachée à ses soldats </w:t>
      </w:r>
      <w:r w:rsidR="00A67E3D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pendant plus d’un mois. </w:t>
      </w:r>
      <w:r w:rsidR="00D9024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Sa dépouille est ramenée ensuite à Istanbul</w:t>
      </w:r>
      <w:r w:rsidR="0066292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où elle est accueillie en grande pompe par la cour du nouveau souverain Selim II et </w:t>
      </w:r>
      <w:r w:rsidR="0078492B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la population. </w:t>
      </w:r>
    </w:p>
    <w:p w14:paraId="78DD9E12" w14:textId="519E03B7" w:rsidR="00D0706F" w:rsidRDefault="0078492B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BAF7D47" wp14:editId="51078D98">
            <wp:simplePos x="0" y="0"/>
            <wp:positionH relativeFrom="column">
              <wp:posOffset>-158750</wp:posOffset>
            </wp:positionH>
            <wp:positionV relativeFrom="paragraph">
              <wp:posOffset>257175</wp:posOffset>
            </wp:positionV>
            <wp:extent cx="2321767" cy="3429000"/>
            <wp:effectExtent l="0" t="0" r="2540" b="0"/>
            <wp:wrapSquare wrapText="bothSides"/>
            <wp:docPr id="3" name="Image 3" descr="La mort des sultans ottomans | Poli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ort des sultans ottomans | Politi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767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E34E3" w14:textId="0F8A4DC0" w:rsidR="005E654D" w:rsidRDefault="005E654D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47D57958" w14:textId="05F567DC" w:rsidR="00D0706F" w:rsidRPr="009E2669" w:rsidRDefault="00D0706F" w:rsidP="009E266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  <w:r w:rsidRPr="009E26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>La mort des</w:t>
      </w:r>
      <w:r w:rsidR="009E2669" w:rsidRPr="009E26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 xml:space="preserve"> sultans</w:t>
      </w:r>
    </w:p>
    <w:p w14:paraId="51B2AD1C" w14:textId="77777777" w:rsidR="00797D93" w:rsidRDefault="00797D93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11DA9518" w14:textId="09966794" w:rsidR="004E0AB5" w:rsidRDefault="004E0AB5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6A105288" w14:textId="0F3B2D56" w:rsidR="004E0AB5" w:rsidRDefault="004E0AB5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6C46EE5E" w14:textId="77777777" w:rsidR="004E0AB5" w:rsidRPr="0051634B" w:rsidRDefault="004E0AB5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5363975E" w14:textId="06B45CBC" w:rsidR="009D3A85" w:rsidRDefault="009D3A85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50564434" w14:textId="188369AB" w:rsidR="00B93841" w:rsidRDefault="00B93841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04797262" w14:textId="4225C1FD" w:rsidR="00B93841" w:rsidRDefault="00B93841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3D8FDD14" w14:textId="53211DC2" w:rsidR="00B93841" w:rsidRDefault="00B93841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387F7EFB" w14:textId="0E37456B" w:rsidR="00B93841" w:rsidRDefault="00B93841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796ED25D" w14:textId="2B893857" w:rsidR="00B93841" w:rsidRDefault="00B93841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4A433380" w14:textId="0F1BA3CC" w:rsidR="00B93841" w:rsidRDefault="00B93841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32678AF9" w14:textId="494B3F55" w:rsidR="00B93841" w:rsidRDefault="00B93841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66C987A7" w14:textId="5E7535CE" w:rsidR="00B93841" w:rsidRDefault="00B93841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5052E601" w14:textId="77777777" w:rsidR="00B93841" w:rsidRPr="009D3A85" w:rsidRDefault="00B93841" w:rsidP="00A037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14:paraId="38E1FA5F" w14:textId="3C92175A" w:rsidR="00006D3D" w:rsidRDefault="00A03772" w:rsidP="00A03772">
      <w:pPr>
        <w:shd w:val="clear" w:color="auto" w:fill="F8F9FA"/>
        <w:spacing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D2C7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La </w:t>
      </w:r>
      <w:hyperlink r:id="rId10" w:tooltip="Céramique d'Iznik" w:history="1">
        <w:r w:rsidRPr="006D2C71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céramique d'Iznik</w:t>
        </w:r>
      </w:hyperlink>
      <w:r w:rsidRPr="006D2C7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 prospéra sous le règne de Soliman. </w:t>
      </w:r>
    </w:p>
    <w:p w14:paraId="6AB18736" w14:textId="4FBE8494" w:rsidR="00A03772" w:rsidRPr="00006D3D" w:rsidRDefault="00A03772" w:rsidP="00A03772">
      <w:pPr>
        <w:shd w:val="clear" w:color="auto" w:fill="F8F9FA"/>
        <w:spacing w:line="336" w:lineRule="atLeast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fr-FR"/>
        </w:rPr>
      </w:pPr>
      <w:r w:rsidRPr="006D2C71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fr-FR"/>
        </w:rPr>
        <w:t>Assiette des années 1530-1540.</w:t>
      </w:r>
    </w:p>
    <w:p w14:paraId="4E53C456" w14:textId="5AF0FC6D" w:rsidR="00765DD8" w:rsidRPr="006D2C71" w:rsidRDefault="00A157F2" w:rsidP="00A03772">
      <w:pPr>
        <w:shd w:val="clear" w:color="auto" w:fill="F8F9FA"/>
        <w:spacing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7B7FC1" wp14:editId="2C4E2E7E">
            <wp:simplePos x="0" y="0"/>
            <wp:positionH relativeFrom="column">
              <wp:posOffset>292100</wp:posOffset>
            </wp:positionH>
            <wp:positionV relativeFrom="paragraph">
              <wp:posOffset>262890</wp:posOffset>
            </wp:positionV>
            <wp:extent cx="1482090" cy="1343025"/>
            <wp:effectExtent l="0" t="0" r="3810" b="9525"/>
            <wp:wrapSquare wrapText="bothSides"/>
            <wp:docPr id="4" name="Image 4" descr="Photographie d'une céramique d'Iznik, exposée au musée des beaux-arts de Ly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graphie d'une céramique d'Iznik, exposée au musée des beaux-arts de Lyo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89F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Les potiers d’I</w:t>
      </w:r>
      <w:r w:rsidR="00F969E7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z</w:t>
      </w:r>
      <w:r w:rsidR="00F1189F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nik</w:t>
      </w:r>
      <w:r w:rsidR="00F969E7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mettent au point </w:t>
      </w:r>
      <w:r w:rsidR="003663D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des couleurs proches des bleus et blancs chinois. </w:t>
      </w:r>
      <w:r w:rsidR="00836CC9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Progressivement la palette s’enrichit notamment avec le rouge </w:t>
      </w:r>
      <w:r w:rsidR="0043456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tomate tandis que les motifs s’inspirent souvent du monde floral. </w:t>
      </w:r>
    </w:p>
    <w:p w14:paraId="41D7EACC" w14:textId="6FCC874C" w:rsidR="00065FCD" w:rsidRDefault="00065FCD" w:rsidP="00065FCD">
      <w:pPr>
        <w:pStyle w:val="Sansinterligne"/>
        <w:rPr>
          <w:rFonts w:ascii="Arial" w:hAnsi="Arial" w:cs="Arial"/>
          <w:color w:val="000000" w:themeColor="text1"/>
        </w:rPr>
      </w:pPr>
    </w:p>
    <w:p w14:paraId="146F53FE" w14:textId="0DF5E19C" w:rsidR="00F303B2" w:rsidRDefault="00F303B2" w:rsidP="00065FCD">
      <w:pPr>
        <w:pStyle w:val="Sansinterligne"/>
        <w:rPr>
          <w:rFonts w:ascii="Arial" w:hAnsi="Arial" w:cs="Arial"/>
          <w:color w:val="000000" w:themeColor="text1"/>
        </w:rPr>
      </w:pPr>
    </w:p>
    <w:p w14:paraId="2CDCE933" w14:textId="7D3F494B" w:rsidR="00F303B2" w:rsidRDefault="00F303B2" w:rsidP="00065FCD">
      <w:pPr>
        <w:pStyle w:val="Sansinterligne"/>
        <w:rPr>
          <w:rFonts w:ascii="Arial" w:hAnsi="Arial" w:cs="Arial"/>
          <w:color w:val="000000" w:themeColor="text1"/>
          <w:sz w:val="24"/>
          <w:szCs w:val="24"/>
        </w:rPr>
      </w:pPr>
      <w:r w:rsidRPr="00B27A07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542989D" wp14:editId="39080D92">
            <wp:simplePos x="0" y="0"/>
            <wp:positionH relativeFrom="column">
              <wp:posOffset>187325</wp:posOffset>
            </wp:positionH>
            <wp:positionV relativeFrom="paragraph">
              <wp:posOffset>193675</wp:posOffset>
            </wp:positionV>
            <wp:extent cx="1920875" cy="1920875"/>
            <wp:effectExtent l="0" t="0" r="3175" b="317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D09" w:rsidRPr="00B27A07">
        <w:rPr>
          <w:rFonts w:ascii="Arial" w:hAnsi="Arial" w:cs="Arial"/>
          <w:color w:val="000000" w:themeColor="text1"/>
          <w:sz w:val="24"/>
          <w:szCs w:val="24"/>
        </w:rPr>
        <w:t>La tulipe est le thème favori</w:t>
      </w:r>
      <w:r w:rsidR="00581229" w:rsidRPr="00B27A07">
        <w:rPr>
          <w:rFonts w:ascii="Arial" w:hAnsi="Arial" w:cs="Arial"/>
          <w:color w:val="000000" w:themeColor="text1"/>
          <w:sz w:val="24"/>
          <w:szCs w:val="24"/>
        </w:rPr>
        <w:t xml:space="preserve"> des artistes. Symbole de richesse mais aussi d’art et de beauté</w:t>
      </w:r>
    </w:p>
    <w:p w14:paraId="7FEBCFA2" w14:textId="148970C4" w:rsidR="00FB7F2C" w:rsidRDefault="00FB7F2C" w:rsidP="00065FCD">
      <w:pPr>
        <w:pStyle w:val="Sansinterligne"/>
        <w:rPr>
          <w:rFonts w:ascii="Arial" w:hAnsi="Arial" w:cs="Arial"/>
          <w:color w:val="000000" w:themeColor="text1"/>
          <w:sz w:val="24"/>
          <w:szCs w:val="24"/>
        </w:rPr>
      </w:pPr>
    </w:p>
    <w:p w14:paraId="3B111EC6" w14:textId="190826BC" w:rsidR="00FB7F2C" w:rsidRPr="00E42D01" w:rsidRDefault="00FB7F2C" w:rsidP="00065FCD">
      <w:pPr>
        <w:pStyle w:val="Sansinterligne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E42D0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Pichet d’Iznik</w:t>
      </w:r>
      <w:r w:rsidR="00E42D01" w:rsidRPr="00E42D0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, musée du Louvre</w:t>
      </w:r>
    </w:p>
    <w:p w14:paraId="3B6865EC" w14:textId="2F1AEA00" w:rsidR="00FB7F2C" w:rsidRPr="00B27A07" w:rsidRDefault="00FB7F2C" w:rsidP="00065FCD">
      <w:pPr>
        <w:pStyle w:val="Sansinterligne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8FBE9E" wp14:editId="0F02E607">
            <wp:simplePos x="0" y="0"/>
            <wp:positionH relativeFrom="column">
              <wp:posOffset>2225675</wp:posOffset>
            </wp:positionH>
            <wp:positionV relativeFrom="paragraph">
              <wp:posOffset>3175</wp:posOffset>
            </wp:positionV>
            <wp:extent cx="1153795" cy="1883410"/>
            <wp:effectExtent l="0" t="0" r="8255" b="254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379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98BC9" w14:textId="34547B1B" w:rsidR="00F303B2" w:rsidRDefault="00F303B2" w:rsidP="00065FCD">
      <w:pPr>
        <w:pStyle w:val="Sansinterligne"/>
        <w:rPr>
          <w:rFonts w:ascii="Arial" w:hAnsi="Arial" w:cs="Arial"/>
          <w:color w:val="000000" w:themeColor="text1"/>
        </w:rPr>
      </w:pPr>
    </w:p>
    <w:p w14:paraId="0D507175" w14:textId="6BA3D4F2" w:rsidR="00F303B2" w:rsidRPr="00972F82" w:rsidRDefault="00F303B2" w:rsidP="00065FCD">
      <w:pPr>
        <w:pStyle w:val="Sansinterligne"/>
        <w:rPr>
          <w:rFonts w:ascii="Arial" w:hAnsi="Arial" w:cs="Arial"/>
          <w:color w:val="000000" w:themeColor="text1"/>
        </w:rPr>
      </w:pPr>
    </w:p>
    <w:sectPr w:rsidR="00F303B2" w:rsidRPr="00972F82" w:rsidSect="00FB7F2C">
      <w:pgSz w:w="16838" w:h="11906" w:orient="landscape"/>
      <w:pgMar w:top="0" w:right="142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74"/>
    <w:rsid w:val="00005D4D"/>
    <w:rsid w:val="00006D3D"/>
    <w:rsid w:val="00013280"/>
    <w:rsid w:val="0004411D"/>
    <w:rsid w:val="00060E8D"/>
    <w:rsid w:val="00065FCD"/>
    <w:rsid w:val="000A2B2E"/>
    <w:rsid w:val="00135AE9"/>
    <w:rsid w:val="00151D97"/>
    <w:rsid w:val="00185B69"/>
    <w:rsid w:val="001D1D09"/>
    <w:rsid w:val="00240508"/>
    <w:rsid w:val="002B0162"/>
    <w:rsid w:val="002D734E"/>
    <w:rsid w:val="00321EE1"/>
    <w:rsid w:val="003246A0"/>
    <w:rsid w:val="00344C71"/>
    <w:rsid w:val="003522E9"/>
    <w:rsid w:val="003663D1"/>
    <w:rsid w:val="003A4FE2"/>
    <w:rsid w:val="003C3828"/>
    <w:rsid w:val="00405474"/>
    <w:rsid w:val="00434564"/>
    <w:rsid w:val="0047323D"/>
    <w:rsid w:val="00485616"/>
    <w:rsid w:val="00490175"/>
    <w:rsid w:val="004E0AB5"/>
    <w:rsid w:val="005137D0"/>
    <w:rsid w:val="0051634B"/>
    <w:rsid w:val="005318E0"/>
    <w:rsid w:val="005449D0"/>
    <w:rsid w:val="00546961"/>
    <w:rsid w:val="00581229"/>
    <w:rsid w:val="005B45F8"/>
    <w:rsid w:val="005E654D"/>
    <w:rsid w:val="005F7FC8"/>
    <w:rsid w:val="00600723"/>
    <w:rsid w:val="00604D3A"/>
    <w:rsid w:val="0066292B"/>
    <w:rsid w:val="006A34DC"/>
    <w:rsid w:val="006B19F8"/>
    <w:rsid w:val="006F7CFB"/>
    <w:rsid w:val="00707D64"/>
    <w:rsid w:val="00757476"/>
    <w:rsid w:val="00765DD8"/>
    <w:rsid w:val="00774E81"/>
    <w:rsid w:val="0078492B"/>
    <w:rsid w:val="00797D93"/>
    <w:rsid w:val="007A0D49"/>
    <w:rsid w:val="007F2E5D"/>
    <w:rsid w:val="007F5F6E"/>
    <w:rsid w:val="007F65E4"/>
    <w:rsid w:val="00836CC9"/>
    <w:rsid w:val="008C1D0B"/>
    <w:rsid w:val="009264A8"/>
    <w:rsid w:val="00964CD5"/>
    <w:rsid w:val="00972F82"/>
    <w:rsid w:val="009B38F2"/>
    <w:rsid w:val="009D3A85"/>
    <w:rsid w:val="009E2669"/>
    <w:rsid w:val="009F33C1"/>
    <w:rsid w:val="00A03772"/>
    <w:rsid w:val="00A157F2"/>
    <w:rsid w:val="00A1618F"/>
    <w:rsid w:val="00A67E3D"/>
    <w:rsid w:val="00A94043"/>
    <w:rsid w:val="00AA170E"/>
    <w:rsid w:val="00B27A07"/>
    <w:rsid w:val="00B917AD"/>
    <w:rsid w:val="00B93841"/>
    <w:rsid w:val="00B93EE9"/>
    <w:rsid w:val="00C02F96"/>
    <w:rsid w:val="00CE1D55"/>
    <w:rsid w:val="00D0706F"/>
    <w:rsid w:val="00D26D8F"/>
    <w:rsid w:val="00D44FC2"/>
    <w:rsid w:val="00D73F9D"/>
    <w:rsid w:val="00D76DF5"/>
    <w:rsid w:val="00D90241"/>
    <w:rsid w:val="00DD4840"/>
    <w:rsid w:val="00E42D01"/>
    <w:rsid w:val="00E54751"/>
    <w:rsid w:val="00E919F4"/>
    <w:rsid w:val="00EB2AD8"/>
    <w:rsid w:val="00F070A6"/>
    <w:rsid w:val="00F1189F"/>
    <w:rsid w:val="00F303B2"/>
    <w:rsid w:val="00F72E22"/>
    <w:rsid w:val="00F84CE2"/>
    <w:rsid w:val="00F969E7"/>
    <w:rsid w:val="00FB4F97"/>
    <w:rsid w:val="00FB7F2C"/>
    <w:rsid w:val="00FC7273"/>
    <w:rsid w:val="00F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72FC"/>
  <w15:chartTrackingRefBased/>
  <w15:docId w15:val="{6EC66865-CDEA-4475-80B6-58A54DCB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65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Palais_de_Topkap%C4%B1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fr.wikipedia.org/wiki/Culture_de_l%27Empire_ottoma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r.wikipedia.org/wiki/C%C3%A9ramique_d%27Iznik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515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CHAMINADE</dc:creator>
  <cp:keywords/>
  <dc:description/>
  <cp:lastModifiedBy>Nathalie CHAMINADE</cp:lastModifiedBy>
  <cp:revision>94</cp:revision>
  <dcterms:created xsi:type="dcterms:W3CDTF">2020-05-08T14:51:00Z</dcterms:created>
  <dcterms:modified xsi:type="dcterms:W3CDTF">2020-05-17T17:50:00Z</dcterms:modified>
</cp:coreProperties>
</file>