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hanging="0" w:left="1078" w:right="1076"/>
        <w:jc w:val="center"/>
        <w:rPr>
          <w:rFonts w:cs="Calibri"/>
          <w:b/>
          <w:sz w:val="28"/>
          <w:szCs w:val="28"/>
        </w:rPr>
      </w:pPr>
      <w:r>
        <w:rPr>
          <w:rFonts w:cs="Calibri"/>
          <w:b/>
          <w:sz w:val="28"/>
          <w:szCs w:val="28"/>
        </w:rPr>
        <w:t>Dissertation s’appuyant sur un dossier documentaire</w:t>
      </w:r>
    </w:p>
    <w:p>
      <w:pPr>
        <w:pStyle w:val="Normal"/>
        <w:spacing w:before="0" w:after="0"/>
        <w:ind w:hanging="0" w:left="396" w:right="0"/>
        <w:jc w:val="both"/>
        <w:rPr>
          <w:rFonts w:cs="Calibri"/>
          <w:i/>
          <w:i/>
          <w:sz w:val="18"/>
          <w:szCs w:val="18"/>
        </w:rPr>
      </w:pPr>
      <w:r>
        <w:rPr>
          <w:rFonts w:cs="Calibri"/>
          <w:i/>
          <w:sz w:val="18"/>
          <w:szCs w:val="18"/>
        </w:rPr>
      </w:r>
    </w:p>
    <w:p>
      <w:pPr>
        <w:pStyle w:val="Normal"/>
        <w:spacing w:before="0" w:after="0"/>
        <w:ind w:hanging="0" w:left="396" w:right="0"/>
        <w:jc w:val="both"/>
        <w:rPr>
          <w:rFonts w:cs="Calibri"/>
          <w:i/>
          <w:i/>
          <w:sz w:val="18"/>
          <w:szCs w:val="18"/>
        </w:rPr>
      </w:pPr>
      <w:r>
        <w:rPr>
          <w:rFonts w:cs="Calibri"/>
          <w:i/>
          <w:sz w:val="18"/>
          <w:szCs w:val="18"/>
        </w:rPr>
        <w:t>Il est demandé au candidat :</w:t>
      </w:r>
    </w:p>
    <w:p>
      <w:pPr>
        <w:pStyle w:val="ListParagraph"/>
        <w:numPr>
          <w:ilvl w:val="0"/>
          <w:numId w:val="2"/>
        </w:numPr>
        <w:tabs>
          <w:tab w:val="clear" w:pos="708"/>
          <w:tab w:val="left" w:pos="963" w:leader="none"/>
        </w:tabs>
        <w:spacing w:lineRule="exact" w:line="231" w:before="0" w:after="160"/>
        <w:contextualSpacing w:val="false"/>
        <w:jc w:val="both"/>
        <w:rPr/>
      </w:pPr>
      <w:r>
        <w:rPr>
          <w:rFonts w:cs="Calibri" w:ascii="Calibri" w:hAnsi="Calibri"/>
          <w:i/>
          <w:sz w:val="18"/>
          <w:szCs w:val="18"/>
        </w:rPr>
        <w:t>de répondre à la question posée par le sujet</w:t>
      </w:r>
      <w:r>
        <w:rPr>
          <w:rFonts w:cs="Calibri" w:ascii="Calibri" w:hAnsi="Calibri"/>
          <w:i/>
          <w:spacing w:val="-37"/>
          <w:sz w:val="18"/>
          <w:szCs w:val="18"/>
        </w:rPr>
        <w:t xml:space="preserve"> </w:t>
      </w:r>
      <w:r>
        <w:rPr>
          <w:rFonts w:cs="Calibri" w:ascii="Calibri" w:hAnsi="Calibri"/>
          <w:i/>
          <w:sz w:val="18"/>
          <w:szCs w:val="18"/>
        </w:rPr>
        <w:t>;</w:t>
      </w:r>
    </w:p>
    <w:p>
      <w:pPr>
        <w:pStyle w:val="ListParagraph"/>
        <w:numPr>
          <w:ilvl w:val="0"/>
          <w:numId w:val="2"/>
        </w:numPr>
        <w:tabs>
          <w:tab w:val="clear" w:pos="708"/>
          <w:tab w:val="left" w:pos="963" w:leader="none"/>
        </w:tabs>
        <w:spacing w:lineRule="exact" w:line="231" w:before="0" w:after="160"/>
        <w:contextualSpacing w:val="false"/>
        <w:jc w:val="both"/>
        <w:rPr/>
      </w:pPr>
      <w:r>
        <w:rPr>
          <w:rFonts w:cs="Calibri" w:ascii="Calibri" w:hAnsi="Calibri"/>
          <w:i/>
          <w:sz w:val="18"/>
          <w:szCs w:val="18"/>
        </w:rPr>
        <w:t>de</w:t>
      </w:r>
      <w:r>
        <w:rPr>
          <w:rFonts w:cs="Calibri" w:ascii="Calibri" w:hAnsi="Calibri"/>
          <w:i/>
          <w:spacing w:val="-5"/>
          <w:sz w:val="18"/>
          <w:szCs w:val="18"/>
        </w:rPr>
        <w:t xml:space="preserve"> </w:t>
      </w:r>
      <w:r>
        <w:rPr>
          <w:rFonts w:cs="Calibri" w:ascii="Calibri" w:hAnsi="Calibri"/>
          <w:i/>
          <w:sz w:val="18"/>
          <w:szCs w:val="18"/>
        </w:rPr>
        <w:t>construire</w:t>
      </w:r>
      <w:r>
        <w:rPr>
          <w:rFonts w:cs="Calibri" w:ascii="Calibri" w:hAnsi="Calibri"/>
          <w:i/>
          <w:spacing w:val="-11"/>
          <w:sz w:val="18"/>
          <w:szCs w:val="18"/>
        </w:rPr>
        <w:t xml:space="preserve"> </w:t>
      </w:r>
      <w:r>
        <w:rPr>
          <w:rFonts w:cs="Calibri" w:ascii="Calibri" w:hAnsi="Calibri"/>
          <w:i/>
          <w:sz w:val="18"/>
          <w:szCs w:val="18"/>
        </w:rPr>
        <w:t>une</w:t>
      </w:r>
      <w:r>
        <w:rPr>
          <w:rFonts w:cs="Calibri" w:ascii="Calibri" w:hAnsi="Calibri"/>
          <w:i/>
          <w:spacing w:val="-4"/>
          <w:sz w:val="18"/>
          <w:szCs w:val="18"/>
        </w:rPr>
        <w:t xml:space="preserve"> </w:t>
      </w:r>
      <w:r>
        <w:rPr>
          <w:rFonts w:cs="Calibri" w:ascii="Calibri" w:hAnsi="Calibri"/>
          <w:i/>
          <w:sz w:val="18"/>
          <w:szCs w:val="18"/>
        </w:rPr>
        <w:t>argumentation</w:t>
      </w:r>
      <w:r>
        <w:rPr>
          <w:rFonts w:cs="Calibri" w:ascii="Calibri" w:hAnsi="Calibri"/>
          <w:i/>
          <w:spacing w:val="-13"/>
          <w:sz w:val="18"/>
          <w:szCs w:val="18"/>
        </w:rPr>
        <w:t xml:space="preserve"> </w:t>
      </w:r>
      <w:r>
        <w:rPr>
          <w:rFonts w:cs="Calibri" w:ascii="Calibri" w:hAnsi="Calibri"/>
          <w:i/>
          <w:sz w:val="18"/>
          <w:szCs w:val="18"/>
        </w:rPr>
        <w:t>à</w:t>
      </w:r>
      <w:r>
        <w:rPr>
          <w:rFonts w:cs="Calibri" w:ascii="Calibri" w:hAnsi="Calibri"/>
          <w:i/>
          <w:spacing w:val="1"/>
          <w:sz w:val="18"/>
          <w:szCs w:val="18"/>
        </w:rPr>
        <w:t xml:space="preserve"> </w:t>
      </w:r>
      <w:r>
        <w:rPr>
          <w:rFonts w:cs="Calibri" w:ascii="Calibri" w:hAnsi="Calibri"/>
          <w:i/>
          <w:sz w:val="18"/>
          <w:szCs w:val="18"/>
        </w:rPr>
        <w:t>partir</w:t>
      </w:r>
      <w:r>
        <w:rPr>
          <w:rFonts w:cs="Calibri" w:ascii="Calibri" w:hAnsi="Calibri"/>
          <w:i/>
          <w:spacing w:val="-2"/>
          <w:sz w:val="18"/>
          <w:szCs w:val="18"/>
        </w:rPr>
        <w:t xml:space="preserve"> </w:t>
      </w:r>
      <w:r>
        <w:rPr>
          <w:rFonts w:cs="Calibri" w:ascii="Calibri" w:hAnsi="Calibri"/>
          <w:i/>
          <w:sz w:val="18"/>
          <w:szCs w:val="18"/>
        </w:rPr>
        <w:t>d'une</w:t>
      </w:r>
      <w:r>
        <w:rPr>
          <w:rFonts w:cs="Calibri" w:ascii="Calibri" w:hAnsi="Calibri"/>
          <w:i/>
          <w:spacing w:val="-6"/>
          <w:sz w:val="18"/>
          <w:szCs w:val="18"/>
        </w:rPr>
        <w:t xml:space="preserve"> </w:t>
      </w:r>
      <w:r>
        <w:rPr>
          <w:rFonts w:cs="Calibri" w:ascii="Calibri" w:hAnsi="Calibri"/>
          <w:i/>
          <w:sz w:val="18"/>
          <w:szCs w:val="18"/>
        </w:rPr>
        <w:t>problématique</w:t>
      </w:r>
      <w:r>
        <w:rPr>
          <w:rFonts w:cs="Calibri" w:ascii="Calibri" w:hAnsi="Calibri"/>
          <w:i/>
          <w:spacing w:val="-11"/>
          <w:sz w:val="18"/>
          <w:szCs w:val="18"/>
        </w:rPr>
        <w:t xml:space="preserve"> </w:t>
      </w:r>
      <w:r>
        <w:rPr>
          <w:rFonts w:cs="Calibri" w:ascii="Calibri" w:hAnsi="Calibri"/>
          <w:i/>
          <w:sz w:val="18"/>
          <w:szCs w:val="18"/>
        </w:rPr>
        <w:t>qu'il</w:t>
      </w:r>
      <w:r>
        <w:rPr>
          <w:rFonts w:cs="Calibri" w:ascii="Calibri" w:hAnsi="Calibri"/>
          <w:i/>
          <w:spacing w:val="-4"/>
          <w:sz w:val="18"/>
          <w:szCs w:val="18"/>
        </w:rPr>
        <w:t xml:space="preserve"> </w:t>
      </w:r>
      <w:r>
        <w:rPr>
          <w:rFonts w:cs="Calibri" w:ascii="Calibri" w:hAnsi="Calibri"/>
          <w:i/>
          <w:sz w:val="18"/>
          <w:szCs w:val="18"/>
        </w:rPr>
        <w:t>devra</w:t>
      </w:r>
      <w:r>
        <w:rPr>
          <w:rFonts w:cs="Calibri" w:ascii="Calibri" w:hAnsi="Calibri"/>
          <w:i/>
          <w:spacing w:val="-6"/>
          <w:sz w:val="18"/>
          <w:szCs w:val="18"/>
        </w:rPr>
        <w:t xml:space="preserve"> </w:t>
      </w:r>
      <w:r>
        <w:rPr>
          <w:rFonts w:cs="Calibri" w:ascii="Calibri" w:hAnsi="Calibri"/>
          <w:i/>
          <w:sz w:val="18"/>
          <w:szCs w:val="18"/>
        </w:rPr>
        <w:t>élaborer</w:t>
      </w:r>
      <w:r>
        <w:rPr>
          <w:rFonts w:cs="Calibri" w:ascii="Calibri" w:hAnsi="Calibri"/>
          <w:i/>
          <w:spacing w:val="-7"/>
          <w:sz w:val="18"/>
          <w:szCs w:val="18"/>
        </w:rPr>
        <w:t xml:space="preserve"> </w:t>
      </w:r>
      <w:r>
        <w:rPr>
          <w:rFonts w:cs="Calibri" w:ascii="Calibri" w:hAnsi="Calibri"/>
          <w:i/>
          <w:sz w:val="18"/>
          <w:szCs w:val="18"/>
        </w:rPr>
        <w:t>;</w:t>
      </w:r>
    </w:p>
    <w:p>
      <w:pPr>
        <w:pStyle w:val="ListParagraph"/>
        <w:numPr>
          <w:ilvl w:val="0"/>
          <w:numId w:val="2"/>
        </w:numPr>
        <w:tabs>
          <w:tab w:val="clear" w:pos="708"/>
          <w:tab w:val="left" w:pos="963" w:leader="none"/>
        </w:tabs>
        <w:spacing w:lineRule="auto" w:line="235" w:before="0" w:after="160"/>
        <w:ind w:hanging="284" w:left="962" w:right="717"/>
        <w:contextualSpacing w:val="false"/>
        <w:jc w:val="both"/>
        <w:rPr/>
      </w:pPr>
      <w:r>
        <w:rPr>
          <w:rFonts w:cs="Calibri" w:ascii="Calibri" w:hAnsi="Calibri"/>
          <w:i/>
          <w:sz w:val="18"/>
          <w:szCs w:val="18"/>
        </w:rPr>
        <w:t>de mobiliser des connaissances et des informations pertinentes pour traiter le sujet, notamment celles figurant dans le dossier</w:t>
      </w:r>
      <w:r>
        <w:rPr>
          <w:rFonts w:cs="Calibri" w:ascii="Calibri" w:hAnsi="Calibri"/>
          <w:i/>
          <w:spacing w:val="-24"/>
          <w:sz w:val="18"/>
          <w:szCs w:val="18"/>
        </w:rPr>
        <w:t xml:space="preserve"> </w:t>
      </w:r>
      <w:r>
        <w:rPr>
          <w:rFonts w:cs="Calibri" w:ascii="Calibri" w:hAnsi="Calibri"/>
          <w:i/>
          <w:sz w:val="18"/>
          <w:szCs w:val="18"/>
        </w:rPr>
        <w:t>;</w:t>
      </w:r>
    </w:p>
    <w:p>
      <w:pPr>
        <w:pStyle w:val="ListParagraph"/>
        <w:numPr>
          <w:ilvl w:val="0"/>
          <w:numId w:val="2"/>
        </w:numPr>
        <w:tabs>
          <w:tab w:val="clear" w:pos="708"/>
          <w:tab w:val="left" w:pos="963" w:leader="none"/>
        </w:tabs>
        <w:spacing w:lineRule="auto" w:line="230" w:before="0" w:after="160"/>
        <w:ind w:hanging="284" w:left="962" w:right="714"/>
        <w:contextualSpacing w:val="false"/>
        <w:jc w:val="both"/>
        <w:rPr/>
      </w:pPr>
      <w:r>
        <w:rPr>
          <w:rFonts w:cs="Calibri" w:ascii="Calibri" w:hAnsi="Calibri"/>
          <w:i/>
          <w:sz w:val="18"/>
          <w:szCs w:val="18"/>
        </w:rPr>
        <w:t>de rédiger, en utilisant le vocabulaire économique et social spécifique et approprié à la  question, en organisant le développement sous la forme d'un plan cohérent qui ménage l'équilibre des</w:t>
      </w:r>
      <w:r>
        <w:rPr>
          <w:rFonts w:cs="Calibri" w:ascii="Calibri" w:hAnsi="Calibri"/>
          <w:i/>
          <w:spacing w:val="-7"/>
          <w:sz w:val="18"/>
          <w:szCs w:val="18"/>
        </w:rPr>
        <w:t xml:space="preserve"> </w:t>
      </w:r>
      <w:r>
        <w:rPr>
          <w:rFonts w:cs="Calibri" w:ascii="Calibri" w:hAnsi="Calibri"/>
          <w:i/>
          <w:sz w:val="18"/>
          <w:szCs w:val="18"/>
        </w:rPr>
        <w:t>parties.</w:t>
      </w:r>
    </w:p>
    <w:p>
      <w:pPr>
        <w:pStyle w:val="BodyText"/>
        <w:rPr>
          <w:rFonts w:ascii="Calibri" w:hAnsi="Calibri" w:cs="Calibri"/>
          <w:i/>
          <w:i/>
          <w:sz w:val="18"/>
          <w:szCs w:val="18"/>
        </w:rPr>
      </w:pPr>
      <w:r>
        <w:rPr>
          <w:rFonts w:cs="Calibri" w:ascii="Calibri" w:hAnsi="Calibri"/>
          <w:i/>
          <w:sz w:val="18"/>
          <w:szCs w:val="18"/>
        </w:rPr>
      </w:r>
    </w:p>
    <w:p>
      <w:pPr>
        <w:pStyle w:val="Normal"/>
        <w:spacing w:before="0" w:after="0"/>
        <w:ind w:hanging="0" w:left="396" w:right="0"/>
        <w:jc w:val="both"/>
        <w:rPr>
          <w:rFonts w:cs="Calibri"/>
          <w:i/>
          <w:i/>
          <w:sz w:val="18"/>
          <w:szCs w:val="18"/>
        </w:rPr>
      </w:pPr>
      <w:r>
        <w:rPr>
          <w:rFonts w:cs="Calibri"/>
          <w:i/>
          <w:sz w:val="18"/>
          <w:szCs w:val="18"/>
        </w:rPr>
        <w:t>Il sera tenu compte, dans la notation, de la clarté de l'expression et du soin apporté à la présentation.</w:t>
      </w:r>
    </w:p>
    <w:p>
      <w:pPr>
        <w:pStyle w:val="BodyText"/>
        <w:rPr>
          <w:rFonts w:ascii="Calibri" w:hAnsi="Calibri" w:cs="Calibri"/>
          <w:i/>
          <w:i/>
          <w:sz w:val="18"/>
          <w:szCs w:val="18"/>
        </w:rPr>
      </w:pPr>
      <w:r>
        <w:rPr>
          <w:rFonts w:cs="Calibri" w:ascii="Calibri" w:hAnsi="Calibri"/>
          <w:i/>
          <w:sz w:val="18"/>
          <w:szCs w:val="18"/>
        </w:rPr>
      </w:r>
    </w:p>
    <w:p>
      <w:pPr>
        <w:pStyle w:val="Heading2"/>
        <w:ind w:hanging="0" w:left="490" w:right="811"/>
        <w:jc w:val="center"/>
        <w:rPr>
          <w:rFonts w:ascii="Calibri" w:hAnsi="Calibri" w:cs="Calibri"/>
          <w:sz w:val="20"/>
          <w:szCs w:val="20"/>
        </w:rPr>
      </w:pPr>
      <w:r>
        <w:rPr>
          <w:rFonts w:cs="Calibri" w:ascii="Calibri" w:hAnsi="Calibri"/>
          <w:sz w:val="20"/>
          <w:szCs w:val="20"/>
        </w:rPr>
        <w:t>SUJET</w:t>
      </w:r>
    </w:p>
    <w:p>
      <w:pPr>
        <w:pStyle w:val="BodyText"/>
        <w:rPr>
          <w:rFonts w:ascii="Calibri" w:hAnsi="Calibri" w:cs="Calibri"/>
          <w:b/>
          <w:sz w:val="20"/>
          <w:szCs w:val="20"/>
        </w:rPr>
      </w:pPr>
      <w:r>
        <w:rPr>
          <w:rFonts w:cs="Calibri" w:ascii="Calibri" w:hAnsi="Calibri"/>
          <w:b/>
          <w:sz w:val="20"/>
          <w:szCs w:val="20"/>
        </w:rPr>
      </w:r>
    </w:p>
    <w:p>
      <w:pPr>
        <w:pStyle w:val="Normal"/>
        <w:spacing w:before="0" w:after="0"/>
        <w:ind w:hanging="0" w:left="489" w:right="813"/>
        <w:jc w:val="center"/>
        <w:rPr>
          <w:rFonts w:cs="Calibri"/>
          <w:i/>
          <w:i/>
          <w:sz w:val="20"/>
          <w:szCs w:val="20"/>
        </w:rPr>
      </w:pPr>
      <w:r>
        <w:rPr>
          <w:rFonts w:cs="Calibri"/>
          <w:i/>
          <w:sz w:val="20"/>
          <w:szCs w:val="20"/>
        </w:rPr>
        <w:t>Ce sujet comporte trois documents.</w:t>
      </w:r>
    </w:p>
    <w:p>
      <w:pPr>
        <w:pStyle w:val="BodyText"/>
        <w:rPr>
          <w:rFonts w:ascii="Calibri" w:hAnsi="Calibri" w:cs="Calibri"/>
          <w:i/>
          <w:i/>
          <w:sz w:val="20"/>
          <w:szCs w:val="20"/>
        </w:rPr>
      </w:pPr>
      <w:r>
        <w:rPr>
          <w:rFonts w:cs="Calibri" w:ascii="Calibri" w:hAnsi="Calibri"/>
          <w:i/>
          <w:sz w:val="20"/>
          <w:szCs w:val="20"/>
        </w:rPr>
      </w:r>
    </w:p>
    <w:p>
      <w:pPr>
        <w:pStyle w:val="Normal"/>
        <w:spacing w:lineRule="auto" w:line="240" w:before="0" w:after="0"/>
        <w:jc w:val="center"/>
        <w:rPr>
          <w:rFonts w:cs="Calibri"/>
          <w:b/>
          <w:bCs/>
        </w:rPr>
      </w:pPr>
      <w:r>
        <w:rPr>
          <w:rFonts w:cs="Calibri"/>
          <w:b/>
          <w:bCs/>
        </w:rPr>
        <w:t>L’engagement politique ne dépend-il que de variables socio-démographiques dans les pays démocratiques actuels ?</w:t>
      </w:r>
    </w:p>
    <w:p>
      <w:pPr>
        <w:pStyle w:val="Normal"/>
        <w:spacing w:before="0" w:after="0"/>
        <w:rPr>
          <w:sz w:val="20"/>
          <w:szCs w:val="20"/>
        </w:rPr>
      </w:pPr>
      <w:r>
        <w:rPr>
          <w:sz w:val="20"/>
          <w:szCs w:val="20"/>
        </w:rPr>
      </w:r>
    </w:p>
    <w:p>
      <w:pPr>
        <w:pStyle w:val="Normal"/>
        <w:spacing w:before="0" w:after="0"/>
        <w:rPr>
          <w:b/>
          <w:bCs/>
          <w:sz w:val="20"/>
          <w:szCs w:val="20"/>
        </w:rPr>
      </w:pPr>
      <w:r>
        <w:rPr>
          <w:b/>
          <w:bCs/>
          <w:sz w:val="20"/>
          <w:szCs w:val="20"/>
        </w:rPr>
        <w:t>DOCUMENT 1</w:t>
      </w:r>
    </w:p>
    <w:p>
      <w:pPr>
        <w:sectPr>
          <w:type w:val="nextPage"/>
          <w:pgSz w:w="11906" w:h="16838"/>
          <w:pgMar w:left="1134" w:right="1134" w:gutter="0" w:header="0" w:top="1134" w:footer="0" w:bottom="1134"/>
          <w:pgNumType w:fmt="decimal"/>
          <w:formProt w:val="false"/>
          <w:textDirection w:val="lrTb"/>
          <w:docGrid w:type="default" w:linePitch="326" w:charSpace="4096"/>
        </w:sectPr>
      </w:pPr>
    </w:p>
    <w:p>
      <w:pPr>
        <w:pStyle w:val="Normal"/>
        <w:spacing w:before="0" w:after="0"/>
        <w:jc w:val="both"/>
        <w:rPr>
          <w:sz w:val="20"/>
          <w:szCs w:val="20"/>
        </w:rPr>
      </w:pPr>
      <w:r>
        <w:rPr>
          <w:sz w:val="20"/>
          <w:szCs w:val="20"/>
        </w:rPr>
        <w:t>Affirmons-le sans langue de bois : nous avons fait la tournée des bars du Vieux-Lille à la rencontre de jeunes candidats aux élections municipales. Qu’ils commandent un thé vert ou une bière rousse, peu importe leur couleur politique, notre seul critère était leur âge, associé à un statut de « primo-engagé » dans une campagne.</w:t>
      </w:r>
    </w:p>
    <w:p>
      <w:pPr>
        <w:pStyle w:val="Normal"/>
        <w:spacing w:before="0" w:after="0"/>
        <w:jc w:val="both"/>
        <w:rPr>
          <w:sz w:val="20"/>
          <w:szCs w:val="20"/>
        </w:rPr>
      </w:pPr>
      <w:r>
        <w:rPr>
          <w:sz w:val="20"/>
          <w:szCs w:val="20"/>
        </w:rPr>
        <w:t>En effet, rares sont les jeunes qui franchissent le pas. Nos jeunes candidats lillois constituent une part infime et atypique de la jeunesse française. Pourquoi ceux-là s’engagent-ils ? […]</w:t>
      </w:r>
    </w:p>
    <w:p>
      <w:pPr>
        <w:pStyle w:val="Normal"/>
        <w:spacing w:before="0" w:after="0"/>
        <w:jc w:val="both"/>
        <w:rPr>
          <w:sz w:val="20"/>
          <w:szCs w:val="20"/>
        </w:rPr>
      </w:pPr>
      <w:r>
        <w:rPr>
          <w:sz w:val="20"/>
          <w:szCs w:val="20"/>
        </w:rPr>
      </w:r>
    </w:p>
    <w:p>
      <w:pPr>
        <w:pStyle w:val="Normal"/>
        <w:spacing w:before="0" w:after="0"/>
        <w:jc w:val="both"/>
        <w:rPr/>
      </w:pPr>
      <w:r>
        <w:rPr>
          <w:sz w:val="20"/>
          <w:szCs w:val="20"/>
        </w:rPr>
        <w:t xml:space="preserve">Clémentine Dupuy, 23 ans, illustre la « sursélection des jeunes élus » constatée par les auteurs de l’enquête, Isabelle Lacroix et Laurent Lardeux. Coordinatrice régionale des Jeunes avec Macron (JAM), cette étudiante en communication s’affiche en septième position de la liste La République en marche, de Violette Spillebout, à Lille. Avec ses deux parents avocats à Chartres, Clémentine Dupuy a toujours parlé de politique à la maison : son père, longtemps conseiller municipal MoDem, était président d’une association distribuant des fournitures scolaires au Sénégal. Sa mère n’était pas élue « mais MoDem aussi, et très engagée ». Petite, elle colle des affiches pour son père et, dès 8 ans, fait partie du conseil municipal des jeunes de sa ville. Installée à Lille pour ses études, elle est vite séduite par les idées d’Emmanuel Macron. « </w:t>
      </w:r>
      <w:r>
        <w:rPr>
          <w:i/>
          <w:iCs/>
          <w:sz w:val="20"/>
          <w:szCs w:val="20"/>
        </w:rPr>
        <w:t>En quatre ans de militantisme, j’ai bien plus appris qu’en cours. J’étais terrorisée à l’idée de faire un exposé devant un groupe de 20 élèves. Aujourd’hui, je suis capable de débattre devant 400 personnes</w:t>
      </w:r>
      <w:r>
        <w:rPr>
          <w:sz w:val="20"/>
          <w:szCs w:val="20"/>
        </w:rPr>
        <w:t>. » […]</w:t>
      </w:r>
    </w:p>
    <w:p>
      <w:pPr>
        <w:pStyle w:val="Normal"/>
        <w:spacing w:before="0" w:after="0"/>
        <w:jc w:val="both"/>
        <w:rPr>
          <w:sz w:val="20"/>
          <w:szCs w:val="20"/>
        </w:rPr>
      </w:pPr>
      <w:r>
        <w:rPr>
          <w:sz w:val="20"/>
          <w:szCs w:val="20"/>
        </w:rPr>
      </w:r>
    </w:p>
    <w:p>
      <w:pPr>
        <w:pStyle w:val="Normal"/>
        <w:spacing w:before="0" w:after="0"/>
        <w:jc w:val="both"/>
        <w:rPr/>
      </w:pPr>
      <w:r>
        <w:rPr>
          <w:sz w:val="20"/>
          <w:szCs w:val="20"/>
        </w:rPr>
        <w:t xml:space="preserve">Les ambitions diffèrent selon les parcours d’engagement. Elodie Cloez, 22 ans, cochef de file de la liste La France insoumise (LFI) à Lille, se dit « militante avant d’être candidate ». Etudiante en master de sciences politiques, après un DUT dans le secteur du commerce, elle voudrait travailler plus tard dans les quartiers prioritaires de la ville, dont elle est issue. « </w:t>
      </w:r>
      <w:r>
        <w:rPr>
          <w:i/>
          <w:iCs/>
          <w:sz w:val="20"/>
          <w:szCs w:val="20"/>
        </w:rPr>
        <w:t>J’ai eu une enfance marquée par la galère et une maman seule, souvent au chômage ; je sais ce que signifie l’injustice sociale.</w:t>
      </w:r>
      <w:r>
        <w:rPr>
          <w:sz w:val="20"/>
          <w:szCs w:val="20"/>
        </w:rPr>
        <w:t xml:space="preserve"> » Lorsqu’elle arrive à la fac en 2017, elle découvre les circuits militants à travers le syndicat Solidaires étudiant.e.s.</w:t>
      </w:r>
    </w:p>
    <w:p>
      <w:pPr>
        <w:pStyle w:val="Normal"/>
        <w:spacing w:before="0" w:after="0"/>
        <w:jc w:val="both"/>
        <w:rPr>
          <w:sz w:val="20"/>
          <w:szCs w:val="20"/>
        </w:rPr>
      </w:pPr>
      <w:r>
        <w:rPr>
          <w:sz w:val="20"/>
          <w:szCs w:val="20"/>
        </w:rPr>
      </w:r>
    </w:p>
    <w:p>
      <w:pPr>
        <w:pStyle w:val="Normal"/>
        <w:spacing w:before="0" w:after="0"/>
        <w:jc w:val="both"/>
        <w:rPr/>
      </w:pPr>
      <w:r>
        <w:rPr>
          <w:sz w:val="20"/>
          <w:szCs w:val="20"/>
        </w:rPr>
        <w:t xml:space="preserve">Son intérêt pour la politique émerge avec la candidature de Jean-Luc Mélenchon à l’élection présidentielle la même année : « </w:t>
      </w:r>
      <w:r>
        <w:rPr>
          <w:i/>
          <w:iCs/>
          <w:sz w:val="20"/>
          <w:szCs w:val="20"/>
        </w:rPr>
        <w:t>Peu importe qu’il soit vieux et qu’il ne nous ressemble pas physiquement, assume-t-elle, adepte de ses meetings retransmis sur YouTube. Il avait un discours fort, clivant, j’avais l’impression que tout pouvait changer, que le monde allait s’envoler.</w:t>
      </w:r>
      <w:r>
        <w:rPr>
          <w:sz w:val="20"/>
          <w:szCs w:val="20"/>
        </w:rPr>
        <w:t xml:space="preserve"> » Contrairement à Clémentine Dupuy, qui souhaite devenir conseillère en communication politique et voit dans cette campagne « un tremplin pour sa carrière professionnelle, un LinkedIn de la vraie vie », Elodie Cloez évoque plutôt une « prise de risques » – son affiliation à LFI étant susceptible de « déranger de futurs employeurs ». […]</w:t>
      </w:r>
    </w:p>
    <w:p>
      <w:pPr>
        <w:pStyle w:val="Normal"/>
        <w:spacing w:before="0" w:after="0"/>
        <w:rPr/>
      </w:pPr>
      <w:r>
        <w:rPr>
          <w:sz w:val="20"/>
          <w:szCs w:val="20"/>
        </w:rPr>
        <w:t xml:space="preserve">Léa Iribarnegaray, </w:t>
      </w:r>
      <w:r>
        <w:rPr>
          <w:i/>
          <w:iCs/>
          <w:sz w:val="20"/>
          <w:szCs w:val="20"/>
        </w:rPr>
        <w:t>Le Monde</w:t>
      </w:r>
      <w:r>
        <w:rPr>
          <w:sz w:val="20"/>
          <w:szCs w:val="20"/>
        </w:rPr>
        <w:t>, 11 mars 2020</w:t>
      </w:r>
    </w:p>
    <w:p>
      <w:pPr>
        <w:sectPr>
          <w:type w:val="continuous"/>
          <w:pgSz w:w="11906" w:h="16838"/>
          <w:pgMar w:left="1134" w:right="1134" w:gutter="0" w:header="0" w:top="1134" w:footer="0" w:bottom="1134"/>
          <w:cols w:num="2" w:space="284" w:equalWidth="true" w:sep="false"/>
          <w:formProt w:val="false"/>
          <w:textDirection w:val="lrTb"/>
          <w:docGrid w:type="default" w:linePitch="326" w:charSpace="4096"/>
        </w:sectPr>
      </w:pPr>
    </w:p>
    <w:p>
      <w:pPr>
        <w:pStyle w:val="Normal"/>
        <w:spacing w:before="0" w:after="0"/>
        <w:rPr>
          <w:sz w:val="20"/>
          <w:szCs w:val="20"/>
        </w:rPr>
      </w:pPr>
      <w:r>
        <w:rPr>
          <w:sz w:val="20"/>
          <w:szCs w:val="20"/>
        </w:rPr>
      </w:r>
    </w:p>
    <w:p>
      <w:pPr>
        <w:pStyle w:val="Normal"/>
        <w:spacing w:lineRule="auto" w:line="240" w:before="0" w:after="0"/>
        <w:rPr>
          <w:sz w:val="20"/>
          <w:szCs w:val="20"/>
        </w:rPr>
      </w:pPr>
      <w:r>
        <w:rPr>
          <w:sz w:val="20"/>
          <w:szCs w:val="20"/>
        </w:rPr>
      </w:r>
      <w:r>
        <w:br w:type="page"/>
      </w:r>
    </w:p>
    <w:p>
      <w:pPr>
        <w:pStyle w:val="Normal"/>
        <w:spacing w:before="0" w:after="0"/>
        <w:rPr>
          <w:b/>
          <w:bCs/>
          <w:sz w:val="20"/>
          <w:szCs w:val="20"/>
        </w:rPr>
      </w:pPr>
      <w:r>
        <w:rPr>
          <w:b/>
          <w:bCs/>
          <w:sz w:val="20"/>
          <w:szCs w:val="20"/>
        </w:rPr>
        <w:t>DOCUMENT 2 : Taux d’adhésion à une association en France en 2016, en %</w:t>
      </w:r>
    </w:p>
    <w:p>
      <w:pPr>
        <w:pStyle w:val="Normal"/>
        <w:spacing w:before="0" w:after="0"/>
        <w:rPr>
          <w:sz w:val="20"/>
          <w:szCs w:val="20"/>
        </w:rPr>
      </w:pPr>
      <w:r>
        <w:rPr>
          <w:sz w:val="20"/>
          <w:szCs w:val="20"/>
        </w:rPr>
      </w:r>
    </w:p>
    <w:tbl>
      <w:tblPr>
        <w:tblW w:w="9629" w:type="dxa"/>
        <w:jc w:val="left"/>
        <w:tblInd w:w="-5" w:type="dxa"/>
        <w:tblLayout w:type="fixed"/>
        <w:tblCellMar>
          <w:top w:w="0" w:type="dxa"/>
          <w:left w:w="108" w:type="dxa"/>
          <w:bottom w:w="0" w:type="dxa"/>
          <w:right w:w="108" w:type="dxa"/>
        </w:tblCellMar>
      </w:tblPr>
      <w:tblGrid>
        <w:gridCol w:w="1980"/>
        <w:gridCol w:w="1021"/>
        <w:gridCol w:w="1105"/>
        <w:gridCol w:w="937"/>
        <w:gridCol w:w="1021"/>
        <w:gridCol w:w="251"/>
        <w:gridCol w:w="649"/>
        <w:gridCol w:w="649"/>
        <w:gridCol w:w="236"/>
        <w:gridCol w:w="889"/>
        <w:gridCol w:w="891"/>
      </w:tblGrid>
      <w:tr>
        <w:trPr>
          <w:trHeight w:val="765"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spacing w:before="0" w:after="0"/>
              <w:rPr>
                <w:b/>
                <w:bCs/>
                <w:sz w:val="18"/>
                <w:szCs w:val="18"/>
              </w:rPr>
            </w:pPr>
            <w:r>
              <w:rPr>
                <w:b/>
                <w:bCs/>
                <w:sz w:val="18"/>
                <w:szCs w:val="18"/>
              </w:rPr>
              <w:t> </w:t>
            </w:r>
          </w:p>
        </w:tc>
        <w:tc>
          <w:tcPr>
            <w:tcW w:w="10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sz w:val="18"/>
                <w:szCs w:val="18"/>
              </w:rPr>
            </w:pPr>
            <w:r>
              <w:rPr>
                <w:b/>
                <w:bCs/>
                <w:sz w:val="18"/>
                <w:szCs w:val="18"/>
              </w:rPr>
              <w:t>Cadres</w:t>
            </w:r>
          </w:p>
        </w:tc>
        <w:tc>
          <w:tcPr>
            <w:tcW w:w="110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sz w:val="18"/>
                <w:szCs w:val="18"/>
              </w:rPr>
            </w:pPr>
            <w:r>
              <w:rPr>
                <w:b/>
                <w:bCs/>
                <w:sz w:val="18"/>
                <w:szCs w:val="18"/>
              </w:rPr>
              <w:t>Professions intermédiaires</w:t>
            </w:r>
          </w:p>
        </w:tc>
        <w:tc>
          <w:tcPr>
            <w:tcW w:w="93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sz w:val="18"/>
                <w:szCs w:val="18"/>
              </w:rPr>
            </w:pPr>
            <w:r>
              <w:rPr>
                <w:b/>
                <w:bCs/>
                <w:sz w:val="18"/>
                <w:szCs w:val="18"/>
              </w:rPr>
              <w:t>Employés</w:t>
            </w:r>
          </w:p>
        </w:tc>
        <w:tc>
          <w:tcPr>
            <w:tcW w:w="10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sz w:val="18"/>
                <w:szCs w:val="18"/>
              </w:rPr>
            </w:pPr>
            <w:r>
              <w:rPr>
                <w:b/>
                <w:bCs/>
                <w:sz w:val="18"/>
                <w:szCs w:val="18"/>
              </w:rPr>
              <w:t>Ouvriers</w:t>
            </w:r>
          </w:p>
        </w:tc>
        <w:tc>
          <w:tcPr>
            <w:tcW w:w="25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r>
          </w:p>
        </w:tc>
        <w:tc>
          <w:tcPr>
            <w:tcW w:w="64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sz w:val="18"/>
                <w:szCs w:val="18"/>
              </w:rPr>
            </w:pPr>
            <w:r>
              <w:rPr>
                <w:b/>
                <w:bCs/>
                <w:sz w:val="18"/>
                <w:szCs w:val="18"/>
              </w:rPr>
              <w:t>16 à 24 ans</w:t>
            </w:r>
          </w:p>
        </w:tc>
        <w:tc>
          <w:tcPr>
            <w:tcW w:w="64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sz w:val="18"/>
                <w:szCs w:val="18"/>
              </w:rPr>
            </w:pPr>
            <w:r>
              <w:rPr>
                <w:b/>
                <w:bCs/>
                <w:sz w:val="18"/>
                <w:szCs w:val="18"/>
              </w:rPr>
              <w:t>50 à 64 ans</w:t>
            </w:r>
          </w:p>
        </w:tc>
        <w:tc>
          <w:tcPr>
            <w:tcW w:w="23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r>
          </w:p>
        </w:tc>
        <w:tc>
          <w:tcPr>
            <w:tcW w:w="8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sz w:val="18"/>
                <w:szCs w:val="18"/>
              </w:rPr>
            </w:pPr>
            <w:r>
              <w:rPr>
                <w:b/>
                <w:bCs/>
                <w:sz w:val="18"/>
                <w:szCs w:val="18"/>
              </w:rPr>
              <w:t>Femmes</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sz w:val="18"/>
                <w:szCs w:val="18"/>
              </w:rPr>
            </w:pPr>
            <w:r>
              <w:rPr>
                <w:b/>
                <w:bCs/>
                <w:sz w:val="18"/>
                <w:szCs w:val="18"/>
              </w:rPr>
              <w:t>Hommes</w:t>
            </w:r>
          </w:p>
        </w:tc>
      </w:tr>
      <w:tr>
        <w:trPr>
          <w:trHeight w:val="263"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spacing w:before="0" w:after="0"/>
              <w:rPr>
                <w:sz w:val="18"/>
                <w:szCs w:val="18"/>
              </w:rPr>
            </w:pPr>
            <w:r>
              <w:rPr>
                <w:sz w:val="18"/>
                <w:szCs w:val="18"/>
              </w:rPr>
              <w:t>Action sanitaire et sociale ou humanitaire et caritative</w:t>
            </w:r>
          </w:p>
        </w:tc>
        <w:tc>
          <w:tcPr>
            <w:tcW w:w="10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11,0</w:t>
            </w:r>
          </w:p>
        </w:tc>
        <w:tc>
          <w:tcPr>
            <w:tcW w:w="110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8,8</w:t>
            </w:r>
          </w:p>
        </w:tc>
        <w:tc>
          <w:tcPr>
            <w:tcW w:w="93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6,0</w:t>
            </w:r>
          </w:p>
        </w:tc>
        <w:tc>
          <w:tcPr>
            <w:tcW w:w="10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3,2</w:t>
            </w:r>
          </w:p>
        </w:tc>
        <w:tc>
          <w:tcPr>
            <w:tcW w:w="25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r>
          </w:p>
        </w:tc>
        <w:tc>
          <w:tcPr>
            <w:tcW w:w="64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3,0</w:t>
            </w:r>
          </w:p>
        </w:tc>
        <w:tc>
          <w:tcPr>
            <w:tcW w:w="64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7,6</w:t>
            </w:r>
          </w:p>
        </w:tc>
        <w:tc>
          <w:tcPr>
            <w:tcW w:w="23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r>
          </w:p>
        </w:tc>
        <w:tc>
          <w:tcPr>
            <w:tcW w:w="8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7,2</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5,6</w:t>
            </w:r>
          </w:p>
        </w:tc>
      </w:tr>
      <w:tr>
        <w:trPr>
          <w:trHeight w:val="263"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spacing w:before="0" w:after="0"/>
              <w:rPr>
                <w:sz w:val="18"/>
                <w:szCs w:val="18"/>
              </w:rPr>
            </w:pPr>
            <w:r>
              <w:rPr>
                <w:sz w:val="18"/>
                <w:szCs w:val="18"/>
              </w:rPr>
              <w:t>Défense de droits et d'intérêts communs</w:t>
            </w:r>
          </w:p>
        </w:tc>
        <w:tc>
          <w:tcPr>
            <w:tcW w:w="10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5,5</w:t>
            </w:r>
          </w:p>
        </w:tc>
        <w:tc>
          <w:tcPr>
            <w:tcW w:w="110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3,7</w:t>
            </w:r>
          </w:p>
        </w:tc>
        <w:tc>
          <w:tcPr>
            <w:tcW w:w="93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2,1</w:t>
            </w:r>
          </w:p>
        </w:tc>
        <w:tc>
          <w:tcPr>
            <w:tcW w:w="10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1,0</w:t>
            </w:r>
          </w:p>
        </w:tc>
        <w:tc>
          <w:tcPr>
            <w:tcW w:w="25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r>
          </w:p>
        </w:tc>
        <w:tc>
          <w:tcPr>
            <w:tcW w:w="64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0,6</w:t>
            </w:r>
          </w:p>
        </w:tc>
        <w:tc>
          <w:tcPr>
            <w:tcW w:w="64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2,7</w:t>
            </w:r>
          </w:p>
        </w:tc>
        <w:tc>
          <w:tcPr>
            <w:tcW w:w="23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r>
          </w:p>
        </w:tc>
        <w:tc>
          <w:tcPr>
            <w:tcW w:w="8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2,7</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2,4</w:t>
            </w:r>
          </w:p>
        </w:tc>
      </w:tr>
      <w:tr>
        <w:trPr>
          <w:trHeight w:val="263"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spacing w:before="0" w:after="0"/>
              <w:rPr>
                <w:sz w:val="18"/>
                <w:szCs w:val="18"/>
              </w:rPr>
            </w:pPr>
            <w:r>
              <w:rPr>
                <w:sz w:val="18"/>
                <w:szCs w:val="18"/>
              </w:rPr>
              <w:t>Syndicat</w:t>
            </w:r>
          </w:p>
        </w:tc>
        <w:tc>
          <w:tcPr>
            <w:tcW w:w="10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9,0</w:t>
            </w:r>
          </w:p>
        </w:tc>
        <w:tc>
          <w:tcPr>
            <w:tcW w:w="110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9,4</w:t>
            </w:r>
          </w:p>
        </w:tc>
        <w:tc>
          <w:tcPr>
            <w:tcW w:w="93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7,0</w:t>
            </w:r>
          </w:p>
        </w:tc>
        <w:tc>
          <w:tcPr>
            <w:tcW w:w="10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5,6</w:t>
            </w:r>
          </w:p>
        </w:tc>
        <w:tc>
          <w:tcPr>
            <w:tcW w:w="25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r>
          </w:p>
        </w:tc>
        <w:tc>
          <w:tcPr>
            <w:tcW w:w="64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0,8</w:t>
            </w:r>
          </w:p>
        </w:tc>
        <w:tc>
          <w:tcPr>
            <w:tcW w:w="64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9,1</w:t>
            </w:r>
          </w:p>
        </w:tc>
        <w:tc>
          <w:tcPr>
            <w:tcW w:w="23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r>
          </w:p>
        </w:tc>
        <w:tc>
          <w:tcPr>
            <w:tcW w:w="8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5,4</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18"/>
                <w:szCs w:val="18"/>
              </w:rPr>
            </w:pPr>
            <w:r>
              <w:rPr>
                <w:sz w:val="18"/>
                <w:szCs w:val="18"/>
              </w:rPr>
              <w:t>7,3</w:t>
            </w:r>
          </w:p>
        </w:tc>
      </w:tr>
    </w:tbl>
    <w:p>
      <w:pPr>
        <w:pStyle w:val="Normal"/>
        <w:spacing w:before="0" w:after="0"/>
        <w:rPr>
          <w:i/>
          <w:i/>
          <w:iCs/>
          <w:sz w:val="20"/>
          <w:szCs w:val="20"/>
        </w:rPr>
      </w:pPr>
      <w:r>
        <w:rPr>
          <w:i/>
          <w:iCs/>
          <w:sz w:val="20"/>
          <w:szCs w:val="20"/>
        </w:rPr>
        <w:t>Source : INSEE</w:t>
      </w:r>
    </w:p>
    <w:p>
      <w:pPr>
        <w:pStyle w:val="Normal"/>
        <w:spacing w:before="0" w:after="0"/>
        <w:rPr>
          <w:sz w:val="20"/>
          <w:szCs w:val="20"/>
        </w:rPr>
      </w:pPr>
      <w:r>
        <w:rPr>
          <w:sz w:val="20"/>
          <w:szCs w:val="20"/>
        </w:rPr>
      </w:r>
    </w:p>
    <w:p>
      <w:pPr>
        <w:pStyle w:val="Normal"/>
        <w:spacing w:before="0" w:after="0"/>
        <w:rPr>
          <w:sz w:val="20"/>
          <w:szCs w:val="20"/>
        </w:rPr>
      </w:pPr>
      <w:r>
        <w:rPr>
          <w:sz w:val="20"/>
          <w:szCs w:val="20"/>
        </w:rPr>
      </w:r>
    </w:p>
    <w:p>
      <w:pPr>
        <w:pStyle w:val="Normal"/>
        <w:spacing w:before="0" w:after="0"/>
        <w:rPr>
          <w:sz w:val="20"/>
          <w:szCs w:val="20"/>
        </w:rPr>
      </w:pPr>
      <w:r>
        <w:rPr>
          <w:sz w:val="20"/>
          <w:szCs w:val="20"/>
        </w:rPr>
      </w:r>
    </w:p>
    <w:p>
      <w:pPr>
        <w:pStyle w:val="Normal"/>
        <w:spacing w:before="0" w:after="0"/>
        <w:rPr>
          <w:sz w:val="20"/>
          <w:szCs w:val="20"/>
        </w:rPr>
      </w:pPr>
      <w:r>
        <w:rPr>
          <w:sz w:val="20"/>
          <w:szCs w:val="20"/>
        </w:rPr>
      </w:r>
    </w:p>
    <w:p>
      <w:pPr>
        <w:pStyle w:val="Normal"/>
        <w:spacing w:before="0" w:after="0"/>
        <w:rPr>
          <w:b/>
          <w:bCs/>
          <w:sz w:val="20"/>
          <w:szCs w:val="20"/>
        </w:rPr>
      </w:pPr>
      <w:r>
        <w:rPr>
          <w:b/>
          <w:bCs/>
          <w:sz w:val="20"/>
          <w:szCs w:val="20"/>
        </w:rPr>
        <w:t>DOCUMENT 3</w:t>
      </w:r>
    </w:p>
    <w:p>
      <w:pPr>
        <w:sectPr>
          <w:type w:val="continuous"/>
          <w:pgSz w:w="11906" w:h="16838"/>
          <w:pgMar w:left="1134" w:right="1134" w:gutter="0" w:header="0" w:top="1134" w:footer="0" w:bottom="1134"/>
          <w:formProt w:val="false"/>
          <w:textDirection w:val="lrTb"/>
          <w:docGrid w:type="default" w:linePitch="326" w:charSpace="4096"/>
        </w:sectPr>
      </w:pPr>
    </w:p>
    <w:p>
      <w:pPr>
        <w:pStyle w:val="Normal"/>
        <w:spacing w:before="0" w:after="0"/>
        <w:jc w:val="both"/>
        <w:rPr>
          <w:b/>
          <w:bCs/>
          <w:sz w:val="20"/>
          <w:szCs w:val="20"/>
        </w:rPr>
      </w:pPr>
      <w:r>
        <w:rPr>
          <w:b/>
          <w:bCs/>
          <w:sz w:val="20"/>
          <w:szCs w:val="20"/>
        </w:rPr>
        <w:t>A Hongkong, cinquante-trois militants prodémocratie interpellés dans le cadre de la loi sur la sécurité nationale imposée par la Chine</w:t>
      </w:r>
    </w:p>
    <w:p>
      <w:pPr>
        <w:pStyle w:val="Normal"/>
        <w:spacing w:before="0" w:after="0"/>
        <w:jc w:val="both"/>
        <w:rPr>
          <w:b/>
          <w:bCs/>
          <w:sz w:val="20"/>
          <w:szCs w:val="20"/>
        </w:rPr>
      </w:pPr>
      <w:r>
        <w:rPr>
          <w:b/>
          <w:bCs/>
          <w:sz w:val="20"/>
          <w:szCs w:val="20"/>
        </w:rPr>
      </w:r>
    </w:p>
    <w:p>
      <w:pPr>
        <w:pStyle w:val="Normal"/>
        <w:spacing w:before="0" w:after="0"/>
        <w:rPr>
          <w:sz w:val="20"/>
          <w:szCs w:val="20"/>
        </w:rPr>
      </w:pPr>
      <w:r>
        <w:rPr>
          <w:sz w:val="20"/>
          <w:szCs w:val="20"/>
        </w:rPr>
        <w:t xml:space="preserve">Le vaste coup de filet, liées à l’organisation des primaires de l’opposition, en juillet 2020, a été mené, mercredi, pour « incitation à la subversion ». </w:t>
      </w:r>
    </w:p>
    <w:p>
      <w:pPr>
        <w:pStyle w:val="Normal"/>
        <w:spacing w:before="0" w:after="0"/>
        <w:rPr>
          <w:sz w:val="20"/>
          <w:szCs w:val="20"/>
        </w:rPr>
      </w:pPr>
      <w:r>
        <w:rPr>
          <w:sz w:val="20"/>
          <w:szCs w:val="20"/>
        </w:rPr>
      </w:r>
    </w:p>
    <w:p>
      <w:pPr>
        <w:pStyle w:val="Normal"/>
        <w:spacing w:before="0" w:after="0"/>
        <w:jc w:val="both"/>
        <w:rPr>
          <w:sz w:val="20"/>
          <w:szCs w:val="20"/>
        </w:rPr>
      </w:pPr>
      <w:r>
        <w:rPr>
          <w:sz w:val="20"/>
          <w:szCs w:val="20"/>
        </w:rPr>
        <w:t>C’est la plus grande opération de police lancée à Hongkong depuis l’imposition par la Chine au début de l’été 2020 d’une loi sur la sécurité nationale draconienne. Mercredi 6 janvier au matin, cinquante-trois militants prodémocratie ont été interpellés pour « incitation à la subversion », en lien avec l’organisation des primaires non officielles du camp de l’opposition qui ont eu lieu le 11 juillet 2020. Presque tous les principaux organisateurs de ce scrutin « spontané », dont d’anciens députés, des conseillers de district et des militants des droits de l’homme, ont été arrêtés.</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Benny Tai, professeur de droit à l’université de Hongkong et principal organisateur du scrutin, était le premier visé par ce coup de filet. Il est de longue date dans le collimateur de Pékin, qui l’a accusé, par le passé, d’être « un agent des forces étrangères dont le but est de blesser Hongkong », de vouloir « prendre le pouvoir » et de « lancer une révolution de couleur ». L’avocat américain John Clancey, spécialisé dans les droits de l’homme, a également été interpellé. Il avait servi de trésorier dans l’organisation des primaires. Son cabinet Ho Tse Wai &amp; Partners, connu pour ses prises de position prodémocratie, a été perquisitionné. […]</w:t>
      </w:r>
    </w:p>
    <w:p>
      <w:pPr>
        <w:pStyle w:val="Normal"/>
        <w:spacing w:before="0" w:after="0"/>
        <w:jc w:val="both"/>
        <w:rPr>
          <w:sz w:val="20"/>
          <w:szCs w:val="20"/>
        </w:rPr>
      </w:pPr>
      <w:r>
        <w:rPr>
          <w:sz w:val="20"/>
          <w:szCs w:val="20"/>
        </w:rPr>
      </w:r>
    </w:p>
    <w:p>
      <w:pPr>
        <w:pStyle w:val="Normal"/>
        <w:spacing w:before="0" w:after="0"/>
        <w:jc w:val="both"/>
        <w:rPr/>
      </w:pPr>
      <w:r>
        <w:rPr>
          <w:sz w:val="20"/>
          <w:szCs w:val="20"/>
        </w:rPr>
        <w:t xml:space="preserve">Le domicile de Frankie Fung, l’un des cofondateurs de la chaîne de télévision en ligne DB Channel, a été perquisitionné et du matériel informatique confisqué. Quatre policiers en civil se sont également présentés aux portes du journal en ligne d’opposition </w:t>
      </w:r>
      <w:r>
        <w:rPr>
          <w:i/>
          <w:iCs/>
          <w:sz w:val="20"/>
          <w:szCs w:val="20"/>
        </w:rPr>
        <w:t>Stand News.</w:t>
      </w:r>
      <w:r>
        <w:rPr>
          <w:sz w:val="20"/>
          <w:szCs w:val="20"/>
        </w:rPr>
        <w:t xml:space="preserve"> Ils ont demandé au média de remettre à la police, sous sept jours, des documents visant à aider une enquête de sécurité nationale. Les locaux n’ont pas été fouillés et aucune arrestation n’a eu lieu. Le responsable du journal a toutefois fait savoir que le mandat présenté lui interdisait de communiquer.</w:t>
      </w:r>
    </w:p>
    <w:p>
      <w:pPr>
        <w:pStyle w:val="Normal"/>
        <w:spacing w:before="0" w:after="0"/>
        <w:jc w:val="both"/>
        <w:rPr>
          <w:sz w:val="20"/>
          <w:szCs w:val="20"/>
        </w:rPr>
      </w:pPr>
      <w:r>
        <w:rPr>
          <w:sz w:val="20"/>
          <w:szCs w:val="20"/>
        </w:rPr>
      </w:r>
    </w:p>
    <w:p>
      <w:pPr>
        <w:pStyle w:val="Normal"/>
        <w:spacing w:before="0" w:after="0"/>
        <w:jc w:val="both"/>
        <w:rPr/>
      </w:pPr>
      <w:r>
        <w:rPr>
          <w:sz w:val="20"/>
          <w:szCs w:val="20"/>
        </w:rPr>
        <w:t>L’</w:t>
      </w:r>
      <w:r>
        <w:rPr>
          <w:i/>
          <w:iCs/>
          <w:sz w:val="20"/>
          <w:szCs w:val="20"/>
        </w:rPr>
        <w:t>Apple Daily,</w:t>
      </w:r>
      <w:r>
        <w:rPr>
          <w:sz w:val="20"/>
          <w:szCs w:val="20"/>
        </w:rPr>
        <w:t xml:space="preserve"> le journal d’opposition le plus populaire de Hongkong dont le fondateur, Jimmy Lai, est déjà en prison, a précisé avoir reçu des consignes en vue d’une enquête de sécurité nationale. Les deux médias avaient largement couvert les primaires et organisé des débats à ce sujet. Par un message posté sur Facebook, le restaurant AboutThai, qui avait abrité l’un des nombreux bureaux de vote improvisés du scrutin, a, pour sa part, annoncé l’arrestation de son propriétaire. […]</w:t>
      </w:r>
    </w:p>
    <w:p>
      <w:pPr>
        <w:pStyle w:val="Normal"/>
        <w:spacing w:before="0" w:after="0"/>
        <w:jc w:val="both"/>
        <w:rPr>
          <w:sz w:val="20"/>
          <w:szCs w:val="20"/>
        </w:rPr>
      </w:pPr>
      <w:r>
        <w:rPr>
          <w:sz w:val="20"/>
          <w:szCs w:val="20"/>
        </w:rPr>
      </w:r>
    </w:p>
    <w:p>
      <w:pPr>
        <w:pStyle w:val="Normal"/>
        <w:spacing w:before="0" w:after="0"/>
        <w:jc w:val="both"/>
        <w:rPr/>
      </w:pPr>
      <w:r>
        <w:rPr>
          <w:sz w:val="20"/>
          <w:szCs w:val="20"/>
        </w:rPr>
        <w:t>Une étude du département de santé publique de l’université chinoise de Hongkong, qui vient d’être rendue publique, a mis en évidence la défiance accrue des Hongkongais à l’égard du gouvernement. Hongkong serait devenu un</w:t>
      </w:r>
      <w:r>
        <w:rPr>
          <w:i/>
          <w:iCs/>
          <w:sz w:val="20"/>
          <w:szCs w:val="20"/>
        </w:rPr>
        <w:t xml:space="preserve"> « bâton de dynamite, prêt à exploser à tout moment », </w:t>
      </w:r>
      <w:r>
        <w:rPr>
          <w:sz w:val="20"/>
          <w:szCs w:val="20"/>
        </w:rPr>
        <w:t xml:space="preserve">selon les chercheurs, qui ont mis en valeur dans leur étude que 87 % des lycéens interrogés n’avaient pas confiance dans le gouvernement. </w:t>
      </w:r>
      <w:r>
        <w:rPr>
          <w:i/>
          <w:iCs/>
          <w:sz w:val="20"/>
          <w:szCs w:val="20"/>
        </w:rPr>
        <w:t>« Malgré tous les mouvements sociaux que nous avons connus, le gouvernement n’a pas fait grand-chose pour atténuer la tension dans la société »,</w:t>
      </w:r>
      <w:r>
        <w:rPr>
          <w:sz w:val="20"/>
          <w:szCs w:val="20"/>
        </w:rPr>
        <w:t xml:space="preserve"> a déclaré à RTHK, le service public audiovisuel du territoire, Terry Lum, le chef du département de l’administration sociale à l’université de Hongkong.</w:t>
      </w:r>
    </w:p>
    <w:p>
      <w:pPr>
        <w:pStyle w:val="Normal"/>
        <w:spacing w:before="0" w:after="0"/>
        <w:jc w:val="both"/>
        <w:rPr/>
      </w:pPr>
      <w:r>
        <w:rPr>
          <w:sz w:val="20"/>
          <w:szCs w:val="20"/>
        </w:rPr>
        <w:t xml:space="preserve">Florence de Changy, </w:t>
      </w:r>
      <w:r>
        <w:rPr>
          <w:i/>
          <w:iCs/>
          <w:sz w:val="20"/>
          <w:szCs w:val="20"/>
        </w:rPr>
        <w:t>Le Monde</w:t>
      </w:r>
      <w:r>
        <w:rPr>
          <w:sz w:val="20"/>
          <w:szCs w:val="20"/>
        </w:rPr>
        <w:t>, 6 janvier 2021</w:t>
      </w:r>
    </w:p>
    <w:p>
      <w:pPr>
        <w:sectPr>
          <w:type w:val="continuous"/>
          <w:pgSz w:w="11906" w:h="16838"/>
          <w:pgMar w:left="1134" w:right="1134" w:gutter="0" w:header="0" w:top="1134" w:footer="0" w:bottom="1134"/>
          <w:cols w:num="2" w:space="284" w:equalWidth="true" w:sep="false"/>
          <w:formProt w:val="false"/>
          <w:textDirection w:val="lrTb"/>
          <w:docGrid w:type="default" w:linePitch="326" w:charSpace="4096"/>
        </w:sectPr>
      </w:pPr>
    </w:p>
    <w:p>
      <w:pPr>
        <w:pStyle w:val="Normal"/>
        <w:spacing w:before="0" w:after="0"/>
        <w:jc w:val="both"/>
        <w:rPr>
          <w:sz w:val="20"/>
          <w:szCs w:val="20"/>
        </w:rPr>
      </w:pPr>
      <w:r>
        <w:rPr>
          <w:sz w:val="20"/>
          <w:szCs w:val="20"/>
        </w:rPr>
      </w:r>
    </w:p>
    <w:p>
      <w:pPr>
        <w:pStyle w:val="Normal"/>
        <w:spacing w:lineRule="auto" w:line="240" w:before="0" w:after="0"/>
        <w:rPr>
          <w:sz w:val="20"/>
          <w:szCs w:val="20"/>
        </w:rPr>
      </w:pPr>
      <w:r>
        <w:rPr>
          <w:sz w:val="20"/>
          <w:szCs w:val="20"/>
        </w:rPr>
      </w:r>
      <w:r>
        <w:br w:type="page"/>
      </w:r>
    </w:p>
    <w:p>
      <w:pPr>
        <w:pStyle w:val="Normal"/>
        <w:spacing w:before="0" w:after="0"/>
        <w:jc w:val="center"/>
        <w:rPr>
          <w:b/>
          <w:bCs/>
          <w:sz w:val="24"/>
          <w:szCs w:val="24"/>
        </w:rPr>
      </w:pPr>
      <w:r>
        <w:rPr>
          <w:b/>
          <w:bCs/>
          <w:sz w:val="24"/>
          <w:szCs w:val="24"/>
        </w:rPr>
        <w:t>Correction dissertation</w:t>
      </w:r>
    </w:p>
    <w:p>
      <w:pPr>
        <w:pStyle w:val="Normal"/>
        <w:spacing w:before="0" w:after="0"/>
        <w:rPr>
          <w:sz w:val="20"/>
          <w:szCs w:val="20"/>
        </w:rPr>
      </w:pPr>
      <w:r>
        <w:rPr>
          <w:sz w:val="20"/>
          <w:szCs w:val="20"/>
        </w:rPr>
      </w:r>
    </w:p>
    <w:p>
      <w:pPr>
        <w:pStyle w:val="Normal"/>
        <w:spacing w:lineRule="auto" w:line="240" w:before="0" w:after="0"/>
        <w:jc w:val="center"/>
        <w:rPr>
          <w:rFonts w:cs="Calibri"/>
          <w:b/>
          <w:bCs/>
        </w:rPr>
      </w:pPr>
      <w:r>
        <w:rPr>
          <w:rFonts w:cs="Calibri"/>
          <w:b/>
          <w:bCs/>
        </w:rPr>
        <w:t>L’engagement politique ne dépend-il que de variables socio-démographiques dans les pays démocratiques actuels ?</w:t>
      </w:r>
    </w:p>
    <w:p>
      <w:pPr>
        <w:pStyle w:val="Normal"/>
        <w:spacing w:before="0" w:after="0"/>
        <w:rPr>
          <w:sz w:val="20"/>
          <w:szCs w:val="20"/>
        </w:rPr>
      </w:pPr>
      <w:r>
        <w:rPr>
          <w:sz w:val="20"/>
          <w:szCs w:val="20"/>
        </w:rPr>
        <w:drawing>
          <wp:anchor behindDoc="0" distT="0" distB="0" distL="0" distR="0" simplePos="0" locked="0" layoutInCell="0" allowOverlap="1" relativeHeight="2">
            <wp:simplePos x="0" y="0"/>
            <wp:positionH relativeFrom="column">
              <wp:posOffset>19050</wp:posOffset>
            </wp:positionH>
            <wp:positionV relativeFrom="paragraph">
              <wp:posOffset>115570</wp:posOffset>
            </wp:positionV>
            <wp:extent cx="6344920" cy="1355725"/>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0517" t="49397" r="27241" b="32600"/>
                    <a:stretch>
                      <a:fillRect/>
                    </a:stretch>
                  </pic:blipFill>
                  <pic:spPr bwMode="auto">
                    <a:xfrm>
                      <a:off x="0" y="0"/>
                      <a:ext cx="6344920" cy="1355725"/>
                    </a:xfrm>
                    <a:prstGeom prst="rect">
                      <a:avLst/>
                    </a:prstGeom>
                    <a:noFill/>
                  </pic:spPr>
                </pic:pic>
              </a:graphicData>
            </a:graphic>
          </wp:anchor>
        </w:drawing>
      </w:r>
    </w:p>
    <w:p>
      <w:pPr>
        <w:pStyle w:val="Normal"/>
        <w:spacing w:before="0" w:after="0"/>
        <w:rPr>
          <w:sz w:val="20"/>
          <w:szCs w:val="20"/>
        </w:rPr>
      </w:pPr>
      <w:r>
        <w:rPr>
          <w:sz w:val="20"/>
          <w:szCs w:val="20"/>
        </w:rPr>
      </w:r>
    </w:p>
    <w:p>
      <w:pPr>
        <w:pStyle w:val="Normal"/>
        <w:spacing w:before="0" w:after="0"/>
        <w:jc w:val="both"/>
        <w:rPr>
          <w:rFonts w:cs="Calibri"/>
          <w:b/>
          <w:bCs/>
          <w:sz w:val="20"/>
          <w:szCs w:val="20"/>
        </w:rPr>
      </w:pPr>
      <w:r>
        <w:rPr>
          <w:rFonts w:cs="Calibri"/>
          <w:b/>
          <w:bCs/>
          <w:sz w:val="20"/>
          <w:szCs w:val="20"/>
        </w:rPr>
        <w:t>Analyse du sujet :</w:t>
      </w:r>
    </w:p>
    <w:p>
      <w:pPr>
        <w:pStyle w:val="Normal"/>
        <w:spacing w:before="0" w:after="0"/>
        <w:jc w:val="both"/>
        <w:rPr>
          <w:rFonts w:cs="Calibri"/>
          <w:sz w:val="20"/>
          <w:szCs w:val="20"/>
        </w:rPr>
      </w:pPr>
      <w:r>
        <w:rPr>
          <w:rFonts w:cs="Calibri"/>
          <w:sz w:val="20"/>
          <w:szCs w:val="20"/>
        </w:rPr>
        <w:t>- Sujet débat, principalement dans les pays de l’hémisphère nord, actuellement,</w:t>
      </w:r>
    </w:p>
    <w:p>
      <w:pPr>
        <w:pStyle w:val="Normal"/>
        <w:spacing w:before="0" w:after="0"/>
        <w:jc w:val="both"/>
        <w:rPr>
          <w:rFonts w:cs="Calibri"/>
          <w:sz w:val="20"/>
          <w:szCs w:val="20"/>
        </w:rPr>
      </w:pPr>
      <w:r>
        <w:rPr>
          <w:rFonts w:cs="Calibri"/>
          <w:sz w:val="20"/>
          <w:szCs w:val="20"/>
        </w:rPr>
        <w:t>- Mots-clés : engagement politique, variables socio-démographiques.</w:t>
      </w:r>
    </w:p>
    <w:p>
      <w:pPr>
        <w:pStyle w:val="Normal"/>
        <w:spacing w:before="0" w:after="0"/>
        <w:jc w:val="both"/>
        <w:rPr>
          <w:rFonts w:cs="Calibri"/>
          <w:sz w:val="20"/>
          <w:szCs w:val="20"/>
        </w:rPr>
      </w:pPr>
      <w:r>
        <w:rPr>
          <w:rFonts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before="0" w:after="0"/>
        <w:jc w:val="both"/>
        <w:rPr>
          <w:rFonts w:cs="Calibri"/>
          <w:sz w:val="20"/>
          <w:szCs w:val="20"/>
        </w:rPr>
      </w:pPr>
      <w:r>
        <w:rPr>
          <w:rFonts w:cs="Calibri"/>
          <w:sz w:val="20"/>
          <w:szCs w:val="20"/>
        </w:rPr>
      </w:r>
    </w:p>
    <w:p>
      <w:pPr>
        <w:pStyle w:val="Normal"/>
        <w:spacing w:before="0" w:after="0"/>
        <w:jc w:val="both"/>
        <w:rPr>
          <w:rFonts w:cs="Calibri"/>
          <w:b/>
          <w:bCs/>
          <w:sz w:val="20"/>
          <w:szCs w:val="20"/>
        </w:rPr>
      </w:pPr>
      <w:r>
        <w:rPr>
          <w:rFonts w:cs="Calibri"/>
          <w:b/>
          <w:bCs/>
          <w:sz w:val="20"/>
          <w:szCs w:val="20"/>
        </w:rPr>
        <w:t>Problématique :</w:t>
      </w:r>
    </w:p>
    <w:p>
      <w:pPr>
        <w:pStyle w:val="Normal"/>
        <w:spacing w:before="0" w:after="0"/>
        <w:jc w:val="both"/>
        <w:rPr/>
      </w:pPr>
      <w:r>
        <w:rPr>
          <w:rFonts w:cs="Calibri"/>
          <w:sz w:val="20"/>
          <w:szCs w:val="20"/>
        </w:rPr>
        <w:t xml:space="preserve">Les caractéristiques sociales des individus et leur socialisation sont-elles les seules explications de l’engagement politique ? L’identité sociale d’un individu n’est-elle que la seule cause de son engagement ou de son non engagement dans les pays démocratiques actuels ? </w:t>
      </w:r>
      <w:r>
        <w:rPr>
          <w:rFonts w:cs="Calibri"/>
          <w:sz w:val="20"/>
          <w:szCs w:val="20"/>
        </w:rPr>
        <w:t>Ou alors des raisons extérieures comme la retribution symbolique ou la structure des opportunités politiques ne peuvent-elles pas aussi compter ?</w:t>
      </w:r>
    </w:p>
    <w:p>
      <w:pPr>
        <w:pStyle w:val="Normal"/>
        <w:spacing w:before="0" w:after="0"/>
        <w:jc w:val="both"/>
        <w:rPr>
          <w:rFonts w:cs="Calibri"/>
          <w:b/>
          <w:bCs/>
          <w:sz w:val="20"/>
          <w:szCs w:val="20"/>
        </w:rPr>
      </w:pPr>
      <w:r>
        <w:rPr>
          <w:rFonts w:cs="Calibri"/>
          <w:b/>
          <w:bCs/>
          <w:sz w:val="20"/>
          <w:szCs w:val="20"/>
        </w:rPr>
      </w:r>
    </w:p>
    <w:p>
      <w:pPr>
        <w:pStyle w:val="Normal"/>
        <w:spacing w:before="0" w:after="0"/>
        <w:jc w:val="both"/>
        <w:rPr>
          <w:sz w:val="20"/>
          <w:szCs w:val="20"/>
        </w:rPr>
      </w:pPr>
      <w:r>
        <w:rPr>
          <w:sz w:val="20"/>
          <w:szCs w:val="20"/>
        </w:rPr>
      </w:r>
    </w:p>
    <w:p>
      <w:pPr>
        <w:pStyle w:val="Normal"/>
        <w:spacing w:before="0" w:after="0"/>
        <w:rPr>
          <w:b/>
          <w:bCs/>
          <w:sz w:val="20"/>
          <w:szCs w:val="20"/>
        </w:rPr>
      </w:pPr>
      <w:r>
        <w:rPr>
          <w:b/>
          <w:bCs/>
          <w:sz w:val="20"/>
          <w:szCs w:val="20"/>
        </w:rPr>
        <w:t>Introduction</w:t>
      </w:r>
    </w:p>
    <w:p>
      <w:pPr>
        <w:pStyle w:val="Normal"/>
        <w:spacing w:before="0" w:after="0"/>
        <w:rPr>
          <w:sz w:val="20"/>
          <w:szCs w:val="20"/>
        </w:rPr>
      </w:pPr>
      <w:r>
        <w:rPr>
          <w:sz w:val="20"/>
          <w:szCs w:val="20"/>
        </w:rPr>
      </w:r>
    </w:p>
    <w:p>
      <w:pPr>
        <w:pStyle w:val="Normal"/>
        <w:spacing w:before="0" w:after="0"/>
        <w:rPr>
          <w:sz w:val="20"/>
          <w:szCs w:val="20"/>
        </w:rPr>
      </w:pPr>
      <w:r>
        <w:rPr>
          <w:sz w:val="20"/>
          <w:szCs w:val="20"/>
        </w:rPr>
      </w:r>
    </w:p>
    <w:p>
      <w:pPr>
        <w:pStyle w:val="Normal"/>
        <w:spacing w:before="0" w:after="0"/>
        <w:rPr>
          <w:b/>
          <w:bCs/>
          <w:sz w:val="20"/>
          <w:szCs w:val="20"/>
        </w:rPr>
      </w:pPr>
      <w:r>
        <w:rPr>
          <w:b/>
          <w:bCs/>
          <w:sz w:val="20"/>
          <w:szCs w:val="20"/>
        </w:rPr>
        <w:t>Explications sociologiques mobilisables et plan possible</w:t>
      </w:r>
    </w:p>
    <w:p>
      <w:pPr>
        <w:pStyle w:val="Normal"/>
        <w:spacing w:before="0" w:after="0"/>
        <w:rPr>
          <w:b/>
          <w:bCs/>
          <w:sz w:val="20"/>
          <w:szCs w:val="20"/>
        </w:rPr>
      </w:pPr>
      <w:r>
        <w:rPr/>
      </w:r>
    </w:p>
    <w:p>
      <w:pPr>
        <w:pStyle w:val="Normal"/>
        <w:spacing w:before="0" w:after="0"/>
        <w:rPr>
          <w:b/>
          <w:bCs/>
          <w:sz w:val="20"/>
          <w:szCs w:val="20"/>
        </w:rPr>
      </w:pPr>
      <w:r>
        <w:rPr>
          <w:b/>
          <w:bCs/>
          <w:sz w:val="20"/>
          <w:szCs w:val="20"/>
        </w:rPr>
        <w:t>I – Les caractéristiques sociales ont un réel impact sur l’engagement politique</w:t>
      </w:r>
    </w:p>
    <w:p>
      <w:pPr>
        <w:pStyle w:val="Normal"/>
        <w:spacing w:before="0" w:after="0"/>
        <w:jc w:val="both"/>
        <w:rPr>
          <w:i/>
          <w:i/>
          <w:iCs/>
          <w:sz w:val="20"/>
          <w:szCs w:val="20"/>
        </w:rPr>
      </w:pPr>
      <w:r>
        <w:rPr>
          <w:i/>
          <w:iCs/>
          <w:sz w:val="20"/>
          <w:szCs w:val="20"/>
        </w:rPr>
        <w:t>Phrase d’annonce des sous-parties : Les socialisations primaire et secondaire explique l’engagement politique, tout comme les caractéristiques sociales (genre, diplôme et profession, âge et génération).</w:t>
      </w:r>
    </w:p>
    <w:p>
      <w:pPr>
        <w:pStyle w:val="Normal"/>
        <w:spacing w:before="0" w:after="0"/>
        <w:jc w:val="both"/>
        <w:rPr>
          <w:sz w:val="20"/>
          <w:szCs w:val="20"/>
        </w:rPr>
      </w:pPr>
      <w:r>
        <w:rPr>
          <w:sz w:val="20"/>
          <w:szCs w:val="20"/>
        </w:rPr>
      </w:r>
    </w:p>
    <w:p>
      <w:pPr>
        <w:pStyle w:val="Normal"/>
        <w:spacing w:before="0" w:after="0"/>
        <w:jc w:val="both"/>
        <w:rPr/>
      </w:pPr>
      <w:r>
        <w:rPr>
          <w:b/>
          <w:bCs/>
          <w:sz w:val="20"/>
          <w:szCs w:val="20"/>
        </w:rPr>
        <w:t xml:space="preserve">1 – Le rôle de la socialisation </w:t>
      </w:r>
      <w:r>
        <w:rPr>
          <w:b/>
          <w:bCs/>
          <w:sz w:val="20"/>
          <w:szCs w:val="20"/>
        </w:rPr>
        <w:t>dans l’engagement politique.</w:t>
      </w:r>
    </w:p>
    <w:p>
      <w:pPr>
        <w:pStyle w:val="Normal"/>
        <w:spacing w:before="0" w:after="0"/>
        <w:jc w:val="both"/>
        <w:rPr/>
      </w:pPr>
      <w:r>
        <w:rPr>
          <w:b/>
          <w:bCs/>
          <w:sz w:val="20"/>
          <w:szCs w:val="20"/>
        </w:rPr>
        <w:t>11 –</w:t>
      </w:r>
      <w:r>
        <w:rPr>
          <w:sz w:val="20"/>
          <w:szCs w:val="20"/>
        </w:rPr>
        <w:t xml:space="preserve"> Le rôle de la socialisation primaire</w:t>
      </w:r>
    </w:p>
    <w:p>
      <w:pPr>
        <w:pStyle w:val="Normal"/>
        <w:spacing w:before="0" w:after="0"/>
        <w:jc w:val="both"/>
        <w:rPr>
          <w:sz w:val="20"/>
          <w:szCs w:val="20"/>
        </w:rPr>
      </w:pPr>
      <w:r>
        <w:rPr>
          <w:sz w:val="20"/>
          <w:szCs w:val="20"/>
        </w:rPr>
        <w:t xml:space="preserve">Les sociologues ont montré que les opinions politiques et que le degré d’engagement se transmettaient souvent des parents aux enfants. Cela se fait au moyen d’une socialisation par imprégnation (discussion quotidienne à la maison) ou par pratiques directes (participation à une manifestation). </w:t>
      </w:r>
    </w:p>
    <w:p>
      <w:pPr>
        <w:pStyle w:val="Normal"/>
        <w:spacing w:before="0" w:after="0"/>
        <w:jc w:val="both"/>
        <w:rPr>
          <w:sz w:val="20"/>
          <w:szCs w:val="20"/>
        </w:rPr>
      </w:pPr>
      <w:r>
        <w:rPr>
          <w:sz w:val="20"/>
          <w:szCs w:val="20"/>
        </w:rPr>
      </w:r>
    </w:p>
    <w:p>
      <w:pPr>
        <w:pStyle w:val="Normal"/>
        <w:spacing w:before="0" w:after="0"/>
        <w:jc w:val="both"/>
        <w:rPr/>
      </w:pPr>
      <w:r>
        <w:rPr>
          <w:b/>
          <w:bCs/>
          <w:sz w:val="20"/>
          <w:szCs w:val="20"/>
        </w:rPr>
        <w:t>12 –</w:t>
      </w:r>
      <w:r>
        <w:rPr>
          <w:sz w:val="20"/>
          <w:szCs w:val="20"/>
        </w:rPr>
        <w:t xml:space="preserve"> Le rôle de la socialisation secondaire</w:t>
      </w:r>
    </w:p>
    <w:p>
      <w:pPr>
        <w:pStyle w:val="Normal"/>
        <w:spacing w:before="0" w:after="0"/>
        <w:jc w:val="both"/>
        <w:rPr>
          <w:sz w:val="20"/>
          <w:szCs w:val="20"/>
        </w:rPr>
      </w:pPr>
      <w:r>
        <w:rPr>
          <w:sz w:val="20"/>
          <w:szCs w:val="20"/>
        </w:rPr>
        <w:t>De même, des instances de socialisation secondaire ou des groupes informels peuvent favoriser un engagement politique plus tardif. C’est le rôle des syndicats dans les entreprises, par exemple ou des mouvements politiques éphémères et horizontaux (exemple des Gilets jaunes).</w:t>
      </w:r>
    </w:p>
    <w:p>
      <w:pPr>
        <w:pStyle w:val="Normal"/>
        <w:spacing w:before="0" w:after="0"/>
        <w:jc w:val="both"/>
        <w:rPr>
          <w:sz w:val="20"/>
          <w:szCs w:val="20"/>
        </w:rPr>
      </w:pPr>
      <w:r>
        <w:rPr>
          <w:sz w:val="20"/>
          <w:szCs w:val="20"/>
        </w:rPr>
      </w:r>
    </w:p>
    <w:p>
      <w:pPr>
        <w:pStyle w:val="Normal"/>
        <w:spacing w:before="0" w:after="0"/>
        <w:jc w:val="both"/>
        <w:rPr/>
      </w:pPr>
      <w:r>
        <w:rPr>
          <w:b/>
          <w:bCs/>
          <w:sz w:val="20"/>
          <w:szCs w:val="20"/>
        </w:rPr>
        <w:t xml:space="preserve">2 – Le rôle des caractéristiques socio-démographiques </w:t>
      </w:r>
      <w:r>
        <w:rPr>
          <w:b/>
          <w:bCs/>
          <w:sz w:val="20"/>
          <w:szCs w:val="20"/>
        </w:rPr>
        <w:t>dans l’action politique</w:t>
      </w:r>
    </w:p>
    <w:p>
      <w:pPr>
        <w:pStyle w:val="Normal"/>
        <w:spacing w:before="0" w:after="0"/>
        <w:jc w:val="both"/>
        <w:rPr/>
      </w:pPr>
      <w:r>
        <w:rPr>
          <w:b/>
          <w:bCs/>
          <w:sz w:val="20"/>
          <w:szCs w:val="20"/>
        </w:rPr>
        <w:t>11 –</w:t>
      </w:r>
      <w:r>
        <w:rPr>
          <w:sz w:val="20"/>
          <w:szCs w:val="20"/>
        </w:rPr>
        <w:t xml:space="preserve"> Le genre</w:t>
      </w:r>
    </w:p>
    <w:p>
      <w:pPr>
        <w:pStyle w:val="Normal"/>
        <w:spacing w:before="0" w:after="0"/>
        <w:jc w:val="both"/>
        <w:rPr>
          <w:sz w:val="20"/>
          <w:szCs w:val="20"/>
        </w:rPr>
      </w:pPr>
      <w:r>
        <w:rPr>
          <w:sz w:val="20"/>
          <w:szCs w:val="20"/>
        </w:rPr>
        <w:t>Même si c’est moins le cas grâce aux lois sur la parité en politique, l’engagement politique a longtemps été plus important chez les hommes. Cela peut être dû à une socialisation différenciée ou aux partages inégales des tâches ménagères.</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pPr>
      <w:r>
        <w:rPr>
          <w:b/>
          <w:bCs/>
          <w:sz w:val="20"/>
          <w:szCs w:val="20"/>
        </w:rPr>
        <w:t>12 –</w:t>
      </w:r>
      <w:r>
        <w:rPr>
          <w:sz w:val="20"/>
          <w:szCs w:val="20"/>
        </w:rPr>
        <w:t xml:space="preserve"> Le diplôme et la profession</w:t>
      </w:r>
    </w:p>
    <w:p>
      <w:pPr>
        <w:pStyle w:val="Normal"/>
        <w:spacing w:before="0" w:after="0"/>
        <w:jc w:val="both"/>
        <w:rPr>
          <w:sz w:val="20"/>
          <w:szCs w:val="20"/>
        </w:rPr>
      </w:pPr>
      <w:r>
        <w:rPr>
          <w:sz w:val="20"/>
          <w:szCs w:val="20"/>
        </w:rPr>
        <w:t>Ces deux variables peuvent être analysée ensemble, car le niveau de diplôme a un impact important sur la profession exercée. On constate que les personnes les plus diplômées sont plus engagées politiquement que les personnes les moins diplômées. Cela peut être dû à une socialisation différenciée ou une auto censure de la part des moins diplômés.</w:t>
      </w:r>
    </w:p>
    <w:p>
      <w:pPr>
        <w:pStyle w:val="Normal"/>
        <w:spacing w:before="0" w:after="0"/>
        <w:jc w:val="both"/>
        <w:rPr>
          <w:sz w:val="20"/>
          <w:szCs w:val="20"/>
        </w:rPr>
      </w:pPr>
      <w:r>
        <w:rPr>
          <w:sz w:val="20"/>
          <w:szCs w:val="20"/>
        </w:rPr>
      </w:r>
    </w:p>
    <w:p>
      <w:pPr>
        <w:pStyle w:val="Normal"/>
        <w:spacing w:before="0" w:after="0"/>
        <w:jc w:val="both"/>
        <w:rPr/>
      </w:pPr>
      <w:r>
        <w:rPr>
          <w:b/>
          <w:bCs/>
          <w:sz w:val="20"/>
          <w:szCs w:val="20"/>
        </w:rPr>
        <w:t>13 –</w:t>
      </w:r>
      <w:r>
        <w:rPr>
          <w:sz w:val="20"/>
          <w:szCs w:val="20"/>
        </w:rPr>
        <w:t xml:space="preserve"> L’âge et la génération</w:t>
      </w:r>
    </w:p>
    <w:p>
      <w:pPr>
        <w:pStyle w:val="Normal"/>
        <w:spacing w:before="0" w:after="0"/>
        <w:jc w:val="both"/>
        <w:rPr>
          <w:sz w:val="20"/>
          <w:szCs w:val="20"/>
        </w:rPr>
      </w:pPr>
      <w:r>
        <w:rPr>
          <w:sz w:val="20"/>
          <w:szCs w:val="20"/>
        </w:rPr>
        <w:t>Il semble que les plus jeunes soient moins engagés politiquement (du moins, moins souvent de manière durable). Cela s’explique par l’existence d’autres préoccupations de la jeunesse et par le manque d’organisations politiques ouvertes aux plus jeunes.</w:t>
      </w:r>
    </w:p>
    <w:p>
      <w:pPr>
        <w:pStyle w:val="Normal"/>
        <w:spacing w:before="0" w:after="0"/>
        <w:jc w:val="both"/>
        <w:rPr>
          <w:sz w:val="20"/>
          <w:szCs w:val="20"/>
        </w:rPr>
      </w:pPr>
      <w:r>
        <w:rPr>
          <w:sz w:val="20"/>
          <w:szCs w:val="20"/>
        </w:rPr>
        <w:t>L’effet Génération est aussi important. Des évènements politiques importants peuvent favoriser l’engagement d’une génération pendant un temps long. Exemple de Mai 68, peut-être des Gilets jaunes.</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i/>
          <w:i/>
          <w:iCs/>
          <w:sz w:val="20"/>
          <w:szCs w:val="20"/>
        </w:rPr>
      </w:pPr>
      <w:r>
        <w:rPr>
          <w:i/>
          <w:iCs/>
          <w:sz w:val="20"/>
          <w:szCs w:val="20"/>
        </w:rPr>
        <w:t>Transition et phrase d’annonce des sous-parties</w:t>
      </w:r>
    </w:p>
    <w:p>
      <w:pPr>
        <w:pStyle w:val="Normal"/>
        <w:spacing w:before="0" w:after="0"/>
        <w:jc w:val="both"/>
        <w:rPr>
          <w:i/>
          <w:i/>
          <w:iCs/>
          <w:sz w:val="20"/>
          <w:szCs w:val="20"/>
        </w:rPr>
      </w:pPr>
      <w:r>
        <w:rPr>
          <w:i/>
          <w:iCs/>
          <w:sz w:val="20"/>
          <w:szCs w:val="20"/>
        </w:rPr>
        <w:t>La socialisation et les caractéristiques sociales expliquent l’engagement politique. Cependant, cet engagement dépend aussi des motivations plus personnelles (incitations sélectives et rétributions symboliques) et aussi d’un environnement politique (structures des opportunités politiques).</w:t>
      </w:r>
    </w:p>
    <w:p>
      <w:pPr>
        <w:pStyle w:val="Normal"/>
        <w:spacing w:before="0" w:after="0"/>
        <w:jc w:val="both"/>
        <w:rPr>
          <w:i/>
          <w:i/>
          <w:iCs/>
          <w:sz w:val="20"/>
          <w:szCs w:val="20"/>
        </w:rPr>
      </w:pPr>
      <w:r>
        <w:rPr>
          <w:i/>
          <w:iCs/>
          <w:sz w:val="20"/>
          <w:szCs w:val="20"/>
        </w:rPr>
      </w:r>
    </w:p>
    <w:p>
      <w:pPr>
        <w:pStyle w:val="Normal"/>
        <w:spacing w:before="0" w:after="0"/>
        <w:jc w:val="both"/>
        <w:rPr/>
      </w:pPr>
      <w:r>
        <w:rPr>
          <w:b/>
          <w:bCs/>
          <w:sz w:val="20"/>
          <w:szCs w:val="20"/>
        </w:rPr>
        <w:t>II – Mais, d’autres éléments influence</w:t>
      </w:r>
      <w:r>
        <w:rPr>
          <w:b/>
          <w:bCs/>
          <w:sz w:val="20"/>
          <w:szCs w:val="20"/>
        </w:rPr>
        <w:t>nt</w:t>
      </w:r>
      <w:r>
        <w:rPr>
          <w:b/>
          <w:bCs/>
          <w:sz w:val="20"/>
          <w:szCs w:val="20"/>
        </w:rPr>
        <w:t xml:space="preserve"> l’engagement politique. </w:t>
      </w:r>
      <w:r>
        <w:rPr>
          <w:b/>
          <w:bCs/>
          <w:sz w:val="20"/>
          <w:szCs w:val="20"/>
        </w:rPr>
        <w:t>Ils sont différent d’une simple analyse en termes de variables sociodémographiques.</w:t>
      </w:r>
    </w:p>
    <w:p>
      <w:pPr>
        <w:pStyle w:val="Normal"/>
        <w:spacing w:before="0" w:after="0"/>
        <w:jc w:val="both"/>
        <w:rPr>
          <w:sz w:val="20"/>
          <w:szCs w:val="20"/>
        </w:rPr>
      </w:pPr>
      <w:r>
        <w:rPr>
          <w:sz w:val="20"/>
          <w:szCs w:val="20"/>
        </w:rPr>
      </w:r>
    </w:p>
    <w:p>
      <w:pPr>
        <w:pStyle w:val="Normal"/>
        <w:spacing w:before="0" w:after="0"/>
        <w:jc w:val="both"/>
        <w:rPr/>
      </w:pPr>
      <w:r>
        <w:rPr>
          <w:b/>
          <w:bCs/>
          <w:sz w:val="20"/>
          <w:szCs w:val="20"/>
        </w:rPr>
        <w:t xml:space="preserve">1 – Des motivations plus individuelles </w:t>
      </w:r>
      <w:r>
        <w:rPr>
          <w:b/>
          <w:bCs/>
          <w:sz w:val="20"/>
          <w:szCs w:val="20"/>
        </w:rPr>
        <w:t>qui expliquent l’engagement</w:t>
      </w:r>
    </w:p>
    <w:p>
      <w:pPr>
        <w:pStyle w:val="Normal"/>
        <w:spacing w:before="0" w:after="0"/>
        <w:jc w:val="both"/>
        <w:rPr>
          <w:b/>
          <w:bCs/>
          <w:sz w:val="20"/>
          <w:szCs w:val="20"/>
        </w:rPr>
      </w:pPr>
      <w:r>
        <w:rPr>
          <w:b/>
          <w:bCs/>
          <w:sz w:val="20"/>
          <w:szCs w:val="20"/>
        </w:rPr>
        <w:t>11 – Des incitations sélectives</w:t>
      </w:r>
    </w:p>
    <w:p>
      <w:pPr>
        <w:pStyle w:val="Normal"/>
        <w:spacing w:before="0" w:after="0"/>
        <w:jc w:val="both"/>
        <w:rPr>
          <w:sz w:val="20"/>
          <w:szCs w:val="20"/>
        </w:rPr>
      </w:pPr>
      <w:r>
        <w:rPr>
          <w:sz w:val="20"/>
          <w:szCs w:val="20"/>
        </w:rPr>
        <w:t>Mancur Olson explique que des individus rationnels ne devraient pas s’engager. Or, ils s’engagent en raison d’incitations, c’est-à-dire que les individus y trouvent un intérêt. Elles peuvent être positives : acquérir une compétence, obtenir un poste dans une organisation politique, … Elles peuvent être négatives : ne pas être exclu du groupe de collègues ou d’amis.</w:t>
      </w:r>
    </w:p>
    <w:p>
      <w:pPr>
        <w:pStyle w:val="Normal"/>
        <w:spacing w:before="0" w:after="0"/>
        <w:jc w:val="both"/>
        <w:rPr>
          <w:sz w:val="20"/>
          <w:szCs w:val="20"/>
        </w:rPr>
      </w:pPr>
      <w:r>
        <w:rPr>
          <w:sz w:val="20"/>
          <w:szCs w:val="20"/>
        </w:rPr>
      </w:r>
    </w:p>
    <w:p>
      <w:pPr>
        <w:pStyle w:val="Normal"/>
        <w:spacing w:before="0" w:after="0"/>
        <w:jc w:val="both"/>
        <w:rPr>
          <w:b/>
          <w:bCs/>
          <w:sz w:val="20"/>
          <w:szCs w:val="20"/>
        </w:rPr>
      </w:pPr>
      <w:r>
        <w:rPr>
          <w:b/>
          <w:bCs/>
          <w:sz w:val="20"/>
          <w:szCs w:val="20"/>
        </w:rPr>
        <w:t>12 – Des rétributions symboliques</w:t>
      </w:r>
    </w:p>
    <w:p>
      <w:pPr>
        <w:pStyle w:val="Normal"/>
        <w:spacing w:before="0" w:after="0"/>
        <w:jc w:val="both"/>
        <w:rPr>
          <w:sz w:val="20"/>
          <w:szCs w:val="20"/>
        </w:rPr>
      </w:pPr>
      <w:r>
        <w:rPr>
          <w:sz w:val="20"/>
          <w:szCs w:val="20"/>
        </w:rPr>
        <w:t>L’engagement politique peut aussi s’expliquer par la valorisation de cet engagement et la reconnaissance sociale qu’il suscite : remerciements, reconnaissance, …</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pPr>
      <w:r>
        <w:rPr>
          <w:b/>
          <w:bCs/>
          <w:sz w:val="20"/>
          <w:szCs w:val="20"/>
        </w:rPr>
        <w:t xml:space="preserve">2 – La structures des opportunités politiques </w:t>
      </w:r>
      <w:r>
        <w:rPr>
          <w:b/>
          <w:bCs/>
          <w:sz w:val="20"/>
          <w:szCs w:val="20"/>
        </w:rPr>
        <w:t>peut expliquer qu’un individu prenne la parole</w:t>
      </w:r>
    </w:p>
    <w:p>
      <w:pPr>
        <w:pStyle w:val="Normal"/>
        <w:spacing w:before="0" w:after="0"/>
        <w:jc w:val="both"/>
        <w:rPr>
          <w:b/>
          <w:bCs/>
          <w:sz w:val="20"/>
          <w:szCs w:val="20"/>
        </w:rPr>
      </w:pPr>
      <w:r>
        <w:rPr>
          <w:b/>
          <w:bCs/>
          <w:sz w:val="20"/>
          <w:szCs w:val="20"/>
        </w:rPr>
        <w:t>21 – Un gouvernement et des institutions ouvertes au compromis politique</w:t>
      </w:r>
    </w:p>
    <w:p>
      <w:pPr>
        <w:pStyle w:val="Normal"/>
        <w:spacing w:before="0" w:after="0"/>
        <w:jc w:val="both"/>
        <w:rPr>
          <w:rFonts w:cs="Calibri"/>
          <w:sz w:val="20"/>
          <w:szCs w:val="20"/>
        </w:rPr>
      </w:pPr>
      <w:r>
        <w:rPr>
          <w:rFonts w:cs="Calibri"/>
          <w:sz w:val="20"/>
          <w:szCs w:val="20"/>
        </w:rPr>
        <w:t>Si le système politique ouvert au compromis et à la négociation, cela ouvre des perspectives au mouvement social et cela le motive. De même, si le pouvoir politique a prévu de développer des politiques publiques permettant de résoudre le problème politique mis en avant.</w:t>
      </w:r>
    </w:p>
    <w:p>
      <w:pPr>
        <w:pStyle w:val="Normal"/>
        <w:spacing w:before="0" w:after="0"/>
        <w:jc w:val="both"/>
        <w:rPr>
          <w:sz w:val="20"/>
          <w:szCs w:val="20"/>
        </w:rPr>
      </w:pPr>
      <w:r>
        <w:rPr>
          <w:sz w:val="20"/>
          <w:szCs w:val="20"/>
        </w:rPr>
      </w:r>
    </w:p>
    <w:p>
      <w:pPr>
        <w:pStyle w:val="Normal"/>
        <w:spacing w:before="0" w:after="0"/>
        <w:jc w:val="both"/>
        <w:rPr>
          <w:b/>
          <w:bCs/>
          <w:sz w:val="20"/>
          <w:szCs w:val="20"/>
        </w:rPr>
      </w:pPr>
      <w:r>
        <w:rPr>
          <w:b/>
          <w:bCs/>
          <w:sz w:val="20"/>
          <w:szCs w:val="20"/>
        </w:rPr>
        <w:t>22 – Des élites politiques divisées</w:t>
      </w:r>
    </w:p>
    <w:p>
      <w:pPr>
        <w:pStyle w:val="Normal"/>
        <w:spacing w:before="0" w:after="0"/>
        <w:jc w:val="both"/>
        <w:rPr>
          <w:sz w:val="20"/>
          <w:szCs w:val="20"/>
        </w:rPr>
      </w:pPr>
      <w:r>
        <w:rPr>
          <w:sz w:val="20"/>
          <w:szCs w:val="20"/>
        </w:rPr>
        <w:t>Si les élites politiques sont divisées, et donc si les alliances politiques sont instables, si le mouvement social a des relais politiques pour soutenir ses revendications, alors il y a des chances que le mouvement social se développe.</w:t>
      </w:r>
    </w:p>
    <w:p>
      <w:pPr>
        <w:pStyle w:val="Normal"/>
        <w:spacing w:before="0" w:after="0"/>
        <w:jc w:val="both"/>
        <w:rPr>
          <w:sz w:val="20"/>
          <w:szCs w:val="20"/>
        </w:rPr>
      </w:pPr>
      <w:r>
        <w:rPr>
          <w:sz w:val="20"/>
          <w:szCs w:val="20"/>
        </w:rPr>
      </w:r>
    </w:p>
    <w:p>
      <w:pPr>
        <w:pStyle w:val="Normal"/>
        <w:spacing w:before="0" w:after="0"/>
        <w:jc w:val="both"/>
        <w:rPr>
          <w:b/>
          <w:bCs/>
          <w:sz w:val="20"/>
          <w:szCs w:val="20"/>
        </w:rPr>
      </w:pPr>
      <w:r>
        <w:rPr>
          <w:b/>
          <w:bCs/>
          <w:sz w:val="20"/>
          <w:szCs w:val="20"/>
        </w:rPr>
        <w:t>Conclusion</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lineRule="auto" w:line="240" w:before="0" w:after="0"/>
        <w:rPr>
          <w:sz w:val="20"/>
          <w:szCs w:val="20"/>
        </w:rPr>
      </w:pPr>
      <w:r>
        <w:rPr>
          <w:sz w:val="20"/>
          <w:szCs w:val="20"/>
        </w:rPr>
      </w:r>
      <w:r>
        <w:br w:type="page"/>
      </w:r>
    </w:p>
    <w:p>
      <w:pPr>
        <w:pStyle w:val="Normal"/>
        <w:spacing w:before="0" w:after="0"/>
        <w:jc w:val="both"/>
        <w:rPr>
          <w:b/>
          <w:sz w:val="20"/>
          <w:szCs w:val="20"/>
        </w:rPr>
      </w:pPr>
      <w:r>
        <w:rPr>
          <w:b/>
          <w:sz w:val="20"/>
          <w:szCs w:val="20"/>
        </w:rPr>
        <w:t>Grille d’évaluation de la dissertation</w:t>
      </w:r>
    </w:p>
    <w:p>
      <w:pPr>
        <w:pStyle w:val="Normal"/>
        <w:spacing w:before="0" w:after="0"/>
        <w:jc w:val="both"/>
        <w:rPr>
          <w:bCs/>
          <w:sz w:val="20"/>
          <w:szCs w:val="20"/>
        </w:rPr>
      </w:pPr>
      <w:r>
        <w:rPr>
          <w:bCs/>
          <w:sz w:val="20"/>
          <w:szCs w:val="20"/>
        </w:rPr>
      </w:r>
    </w:p>
    <w:tbl>
      <w:tblPr>
        <w:tblW w:w="5000" w:type="pct"/>
        <w:jc w:val="left"/>
        <w:tblInd w:w="-5" w:type="dxa"/>
        <w:shd w:fill="CDD4E9" w:val="clear"/>
        <w:tblLayout w:type="fixed"/>
        <w:tblCellMar>
          <w:top w:w="80" w:type="dxa"/>
          <w:left w:w="80" w:type="dxa"/>
          <w:bottom w:w="80" w:type="dxa"/>
          <w:right w:w="80" w:type="dxa"/>
        </w:tblCellMar>
      </w:tblPr>
      <w:tblGrid>
        <w:gridCol w:w="2690"/>
        <w:gridCol w:w="6109"/>
        <w:gridCol w:w="839"/>
      </w:tblGrid>
      <w:tr>
        <w:trPr>
          <w:trHeight w:val="396" w:hRule="exact"/>
        </w:trPr>
        <w:tc>
          <w:tcPr>
            <w:tcW w:w="2690" w:type="dxa"/>
            <w:tcBorders>
              <w:top w:val="single" w:sz="4" w:space="0" w:color="000000"/>
              <w:left w:val="single" w:sz="4" w:space="0" w:color="000000"/>
              <w:bottom w:val="single" w:sz="4" w:space="0" w:color="000000"/>
              <w:right w:val="single" w:sz="4" w:space="0" w:color="000000"/>
            </w:tcBorders>
            <w:shd w:fill="CDD4E9" w:val="clear"/>
          </w:tcPr>
          <w:p>
            <w:pPr>
              <w:pStyle w:val="Normal"/>
              <w:spacing w:before="0" w:after="0"/>
              <w:jc w:val="both"/>
              <w:rPr>
                <w:b/>
                <w:bCs/>
                <w:sz w:val="20"/>
                <w:szCs w:val="20"/>
              </w:rPr>
            </w:pPr>
            <w:r>
              <w:rPr>
                <w:b/>
                <w:bCs/>
                <w:sz w:val="20"/>
                <w:szCs w:val="20"/>
              </w:rPr>
              <w:t>Compétences</w:t>
            </w:r>
          </w:p>
        </w:tc>
        <w:tc>
          <w:tcPr>
            <w:tcW w:w="6109" w:type="dxa"/>
            <w:tcBorders>
              <w:top w:val="single" w:sz="4" w:space="0" w:color="000000"/>
              <w:left w:val="single" w:sz="4" w:space="0" w:color="000000"/>
              <w:bottom w:val="single" w:sz="4" w:space="0" w:color="000000"/>
              <w:right w:val="single" w:sz="4" w:space="0" w:color="000000"/>
            </w:tcBorders>
            <w:shd w:fill="CDD4E9" w:val="clear"/>
          </w:tcPr>
          <w:p>
            <w:pPr>
              <w:pStyle w:val="Normal"/>
              <w:spacing w:before="0" w:after="0"/>
              <w:jc w:val="both"/>
              <w:rPr>
                <w:b/>
                <w:bCs/>
                <w:sz w:val="20"/>
                <w:szCs w:val="20"/>
              </w:rPr>
            </w:pPr>
            <w:r>
              <w:rPr>
                <w:b/>
                <w:bCs/>
                <w:sz w:val="20"/>
                <w:szCs w:val="20"/>
              </w:rPr>
              <w:t>Critères de réussite</w:t>
            </w:r>
          </w:p>
        </w:tc>
        <w:tc>
          <w:tcPr>
            <w:tcW w:w="839"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spacing w:before="0" w:after="0"/>
              <w:jc w:val="both"/>
              <w:rPr>
                <w:sz w:val="20"/>
                <w:szCs w:val="20"/>
              </w:rPr>
            </w:pPr>
            <w:r>
              <w:rPr>
                <w:sz w:val="20"/>
                <w:szCs w:val="20"/>
              </w:rPr>
              <w:t>Barème</w:t>
            </w:r>
          </w:p>
        </w:tc>
      </w:tr>
      <w:tr>
        <w:trPr>
          <w:trHeight w:val="2374" w:hRule="exact"/>
        </w:trPr>
        <w:tc>
          <w:tcPr>
            <w:tcW w:w="2690"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numPr>
                <w:ilvl w:val="0"/>
                <w:numId w:val="6"/>
              </w:numPr>
              <w:spacing w:before="0" w:after="0"/>
              <w:jc w:val="both"/>
              <w:rPr>
                <w:b/>
                <w:bCs/>
                <w:sz w:val="20"/>
                <w:szCs w:val="20"/>
              </w:rPr>
            </w:pPr>
            <w:r>
              <w:rPr>
                <w:b/>
                <w:bCs/>
                <w:sz w:val="20"/>
                <w:szCs w:val="20"/>
              </w:rPr>
              <w:t>Introduire en construisant une problématique qui permet de traiter le sujet</w:t>
            </w:r>
          </w:p>
        </w:tc>
        <w:tc>
          <w:tcPr>
            <w:tcW w:w="6109" w:type="dxa"/>
            <w:tcBorders>
              <w:top w:val="single" w:sz="4" w:space="0" w:color="000000"/>
              <w:left w:val="single" w:sz="4" w:space="0" w:color="000000"/>
              <w:bottom w:val="single" w:sz="4" w:space="0" w:color="000000"/>
              <w:right w:val="single" w:sz="4" w:space="0" w:color="000000"/>
            </w:tcBorders>
            <w:shd w:fill="CDD4E9" w:val="clear"/>
          </w:tcPr>
          <w:p>
            <w:pPr>
              <w:pStyle w:val="Normal"/>
              <w:spacing w:before="0" w:after="0"/>
              <w:jc w:val="both"/>
              <w:rPr>
                <w:sz w:val="20"/>
                <w:szCs w:val="20"/>
              </w:rPr>
            </w:pPr>
            <w:r>
              <w:rPr>
                <w:sz w:val="20"/>
                <w:szCs w:val="20"/>
              </w:rPr>
              <w:t xml:space="preserve">L’introduction comprend : </w:t>
            </w:r>
          </w:p>
          <w:p>
            <w:pPr>
              <w:pStyle w:val="Normal"/>
              <w:spacing w:before="0" w:after="0"/>
              <w:jc w:val="both"/>
              <w:rPr>
                <w:sz w:val="20"/>
                <w:szCs w:val="20"/>
              </w:rPr>
            </w:pPr>
            <w:r>
              <w:rPr>
                <w:sz w:val="20"/>
                <w:szCs w:val="20"/>
              </w:rPr>
              <w:t>- une accroche</w:t>
            </w:r>
          </w:p>
          <w:p>
            <w:pPr>
              <w:pStyle w:val="Normal"/>
              <w:spacing w:before="0" w:after="0"/>
              <w:jc w:val="both"/>
              <w:rPr>
                <w:sz w:val="20"/>
                <w:szCs w:val="20"/>
              </w:rPr>
            </w:pPr>
            <w:r>
              <w:rPr>
                <w:sz w:val="20"/>
                <w:szCs w:val="20"/>
              </w:rPr>
              <w:t xml:space="preserve">- le cadrage spatio-temporel du sujet, </w:t>
            </w:r>
          </w:p>
          <w:p>
            <w:pPr>
              <w:pStyle w:val="Normal"/>
              <w:spacing w:before="0" w:after="0"/>
              <w:jc w:val="both"/>
              <w:rPr>
                <w:sz w:val="20"/>
                <w:szCs w:val="20"/>
              </w:rPr>
            </w:pPr>
            <w:r>
              <w:rPr>
                <w:sz w:val="20"/>
                <w:szCs w:val="20"/>
              </w:rPr>
              <w:t>- un cadrage notionnel,</w:t>
            </w:r>
          </w:p>
          <w:p>
            <w:pPr>
              <w:pStyle w:val="Normal"/>
              <w:spacing w:before="0" w:after="0"/>
              <w:jc w:val="both"/>
              <w:rPr>
                <w:sz w:val="20"/>
                <w:szCs w:val="20"/>
              </w:rPr>
            </w:pPr>
            <w:r>
              <w:rPr>
                <w:sz w:val="20"/>
                <w:szCs w:val="20"/>
              </w:rPr>
              <w:t>- une problématique,</w:t>
            </w:r>
          </w:p>
          <w:p>
            <w:pPr>
              <w:pStyle w:val="Normal"/>
              <w:spacing w:before="0" w:after="0"/>
              <w:jc w:val="both"/>
              <w:rPr>
                <w:sz w:val="20"/>
                <w:szCs w:val="20"/>
              </w:rPr>
            </w:pPr>
            <w:r>
              <w:rPr>
                <w:sz w:val="20"/>
                <w:szCs w:val="20"/>
              </w:rPr>
              <w:t xml:space="preserve">- l’annonce du plan. </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 xml:space="preserve">La problématique respecte le sujet. </w:t>
            </w:r>
          </w:p>
          <w:p>
            <w:pPr>
              <w:pStyle w:val="Normal"/>
              <w:spacing w:before="0" w:after="0"/>
              <w:jc w:val="both"/>
              <w:rPr>
                <w:sz w:val="20"/>
                <w:szCs w:val="20"/>
              </w:rPr>
            </w:pPr>
            <w:r>
              <w:rPr>
                <w:sz w:val="20"/>
                <w:szCs w:val="20"/>
              </w:rPr>
            </w:r>
          </w:p>
        </w:tc>
        <w:tc>
          <w:tcPr>
            <w:tcW w:w="839"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spacing w:before="0" w:after="0"/>
              <w:jc w:val="right"/>
              <w:rPr>
                <w:sz w:val="20"/>
                <w:szCs w:val="20"/>
              </w:rPr>
            </w:pPr>
            <w:r>
              <w:rPr>
                <w:sz w:val="20"/>
                <w:szCs w:val="20"/>
              </w:rPr>
              <w:t>/ 3</w:t>
            </w:r>
          </w:p>
        </w:tc>
      </w:tr>
      <w:tr>
        <w:trPr>
          <w:trHeight w:val="1383" w:hRule="exact"/>
        </w:trPr>
        <w:tc>
          <w:tcPr>
            <w:tcW w:w="2690"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numPr>
                <w:ilvl w:val="0"/>
                <w:numId w:val="3"/>
              </w:numPr>
              <w:tabs>
                <w:tab w:val="clear" w:pos="708"/>
              </w:tabs>
              <w:spacing w:before="0" w:after="0"/>
              <w:jc w:val="both"/>
              <w:rPr>
                <w:b/>
                <w:bCs/>
                <w:sz w:val="20"/>
                <w:szCs w:val="20"/>
              </w:rPr>
            </w:pPr>
            <w:r>
              <w:rPr>
                <w:b/>
                <w:bCs/>
                <w:sz w:val="20"/>
                <w:szCs w:val="20"/>
              </w:rPr>
              <w:t>Construire un plan qui répond au sujet</w:t>
            </w:r>
          </w:p>
        </w:tc>
        <w:tc>
          <w:tcPr>
            <w:tcW w:w="6109" w:type="dxa"/>
            <w:tcBorders>
              <w:top w:val="single" w:sz="4" w:space="0" w:color="000000"/>
              <w:left w:val="single" w:sz="4" w:space="0" w:color="000000"/>
              <w:bottom w:val="single" w:sz="4" w:space="0" w:color="000000"/>
              <w:right w:val="single" w:sz="4" w:space="0" w:color="000000"/>
            </w:tcBorders>
            <w:shd w:fill="CDD4E9" w:val="clear"/>
          </w:tcPr>
          <w:p>
            <w:pPr>
              <w:pStyle w:val="Normal"/>
              <w:spacing w:before="0" w:after="0"/>
              <w:jc w:val="both"/>
              <w:rPr>
                <w:sz w:val="20"/>
                <w:szCs w:val="20"/>
              </w:rPr>
            </w:pPr>
            <w:r>
              <w:rPr>
                <w:sz w:val="20"/>
                <w:szCs w:val="20"/>
              </w:rPr>
              <w:t>Le plan est composé de 2 ou 3 parties et de 2 ou 3 sous-parties.</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Le plan répond au sujet et respecte la problématique pertinente qui a été formulée.</w:t>
            </w:r>
          </w:p>
        </w:tc>
        <w:tc>
          <w:tcPr>
            <w:tcW w:w="839"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spacing w:before="0" w:after="0"/>
              <w:jc w:val="right"/>
              <w:rPr>
                <w:sz w:val="20"/>
                <w:szCs w:val="20"/>
              </w:rPr>
            </w:pPr>
            <w:r>
              <w:rPr>
                <w:sz w:val="20"/>
                <w:szCs w:val="20"/>
              </w:rPr>
              <w:t>/ 3</w:t>
            </w:r>
          </w:p>
        </w:tc>
      </w:tr>
      <w:tr>
        <w:trPr>
          <w:trHeight w:val="2200" w:hRule="exact"/>
        </w:trPr>
        <w:tc>
          <w:tcPr>
            <w:tcW w:w="2690"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numPr>
                <w:ilvl w:val="0"/>
                <w:numId w:val="4"/>
              </w:numPr>
              <w:tabs>
                <w:tab w:val="clear" w:pos="708"/>
              </w:tabs>
              <w:spacing w:before="0" w:after="0"/>
              <w:jc w:val="both"/>
              <w:rPr>
                <w:b/>
                <w:bCs/>
                <w:sz w:val="20"/>
                <w:szCs w:val="20"/>
              </w:rPr>
            </w:pPr>
            <w:r>
              <w:rPr>
                <w:b/>
                <w:bCs/>
                <w:sz w:val="20"/>
                <w:szCs w:val="20"/>
              </w:rPr>
              <w:t>Construire une argumentation rigoureuse, sous forme de séquences argumentatives, répondant au sujet</w:t>
            </w:r>
          </w:p>
        </w:tc>
        <w:tc>
          <w:tcPr>
            <w:tcW w:w="6109" w:type="dxa"/>
            <w:tcBorders>
              <w:top w:val="single" w:sz="4" w:space="0" w:color="000000"/>
              <w:left w:val="single" w:sz="4" w:space="0" w:color="000000"/>
              <w:bottom w:val="single" w:sz="4" w:space="0" w:color="000000"/>
              <w:right w:val="single" w:sz="4" w:space="0" w:color="000000"/>
            </w:tcBorders>
            <w:shd w:fill="CDD4E9" w:val="clear"/>
          </w:tcPr>
          <w:p>
            <w:pPr>
              <w:pStyle w:val="Normal"/>
              <w:spacing w:before="0" w:after="0"/>
              <w:jc w:val="both"/>
              <w:rPr>
                <w:sz w:val="20"/>
                <w:szCs w:val="20"/>
              </w:rPr>
            </w:pPr>
            <w:r>
              <w:rPr>
                <w:sz w:val="20"/>
                <w:szCs w:val="20"/>
              </w:rPr>
              <w:t>Les séquences argumentatives se déclinent dans les sous-parties.</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La dissertation est organisée en séquences argumentatives qui s’enchaînent dans une logique démonstrative :</w:t>
            </w:r>
          </w:p>
          <w:p>
            <w:pPr>
              <w:pStyle w:val="Normal"/>
              <w:spacing w:before="0" w:after="0"/>
              <w:jc w:val="both"/>
              <w:rPr>
                <w:sz w:val="20"/>
                <w:szCs w:val="20"/>
              </w:rPr>
            </w:pPr>
            <w:r>
              <w:rPr>
                <w:sz w:val="20"/>
                <w:szCs w:val="20"/>
              </w:rPr>
              <w:t>- Présence explicite d’une idée par séquence reliée au sujet,</w:t>
            </w:r>
          </w:p>
          <w:p>
            <w:pPr>
              <w:pStyle w:val="Normal"/>
              <w:spacing w:before="0" w:after="0"/>
              <w:jc w:val="both"/>
              <w:rPr>
                <w:sz w:val="20"/>
                <w:szCs w:val="20"/>
              </w:rPr>
            </w:pPr>
            <w:r>
              <w:rPr>
                <w:sz w:val="20"/>
                <w:szCs w:val="20"/>
              </w:rPr>
              <w:t>- Présence d’explication(s) pour la défendre,</w:t>
            </w:r>
          </w:p>
          <w:p>
            <w:pPr>
              <w:pStyle w:val="Normal"/>
              <w:spacing w:before="0" w:after="0"/>
              <w:jc w:val="both"/>
              <w:rPr>
                <w:sz w:val="20"/>
                <w:szCs w:val="20"/>
              </w:rPr>
            </w:pPr>
            <w:r>
              <w:rPr>
                <w:sz w:val="20"/>
                <w:szCs w:val="20"/>
              </w:rPr>
              <w:t>- Présence d’une illustration issue ou non des documents.</w:t>
            </w:r>
          </w:p>
        </w:tc>
        <w:tc>
          <w:tcPr>
            <w:tcW w:w="839"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spacing w:before="0" w:after="0"/>
              <w:jc w:val="right"/>
              <w:rPr>
                <w:sz w:val="20"/>
                <w:szCs w:val="20"/>
              </w:rPr>
            </w:pPr>
            <w:r>
              <w:rPr>
                <w:sz w:val="20"/>
                <w:szCs w:val="20"/>
              </w:rPr>
              <w:t>/ 4</w:t>
            </w:r>
          </w:p>
        </w:tc>
      </w:tr>
      <w:tr>
        <w:trPr>
          <w:trHeight w:val="1981" w:hRule="exact"/>
        </w:trPr>
        <w:tc>
          <w:tcPr>
            <w:tcW w:w="2690"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spacing w:before="0" w:after="0"/>
              <w:jc w:val="both"/>
              <w:rPr>
                <w:b/>
                <w:bCs/>
                <w:sz w:val="20"/>
                <w:szCs w:val="20"/>
              </w:rPr>
            </w:pPr>
            <w:r>
              <w:rPr>
                <w:b/>
                <w:bCs/>
                <w:sz w:val="20"/>
                <w:szCs w:val="20"/>
              </w:rPr>
              <w:t>4. Mobiliser des connaissances utiles pour répondre au sujet</w:t>
            </w:r>
          </w:p>
        </w:tc>
        <w:tc>
          <w:tcPr>
            <w:tcW w:w="6109" w:type="dxa"/>
            <w:tcBorders>
              <w:top w:val="single" w:sz="4" w:space="0" w:color="000000"/>
              <w:left w:val="single" w:sz="4" w:space="0" w:color="000000"/>
              <w:bottom w:val="single" w:sz="4" w:space="0" w:color="000000"/>
              <w:right w:val="single" w:sz="4" w:space="0" w:color="000000"/>
            </w:tcBorders>
            <w:shd w:fill="CDD4E9" w:val="clear"/>
          </w:tcPr>
          <w:p>
            <w:pPr>
              <w:pStyle w:val="Normal"/>
              <w:spacing w:before="0" w:after="0"/>
              <w:jc w:val="both"/>
              <w:rPr>
                <w:sz w:val="20"/>
                <w:szCs w:val="20"/>
              </w:rPr>
            </w:pPr>
            <w:r>
              <w:rPr>
                <w:sz w:val="20"/>
                <w:szCs w:val="20"/>
              </w:rPr>
              <w:t xml:space="preserve">Un nombre approprié de notions du programme est utilisé à bon escient. </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Des mécanismes ou explicitations sont mobilisés pour répondre au sujet.</w:t>
            </w:r>
          </w:p>
        </w:tc>
        <w:tc>
          <w:tcPr>
            <w:tcW w:w="839"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spacing w:before="0" w:after="0"/>
              <w:jc w:val="right"/>
              <w:rPr>
                <w:sz w:val="20"/>
                <w:szCs w:val="20"/>
              </w:rPr>
            </w:pPr>
            <w:r>
              <w:rPr>
                <w:sz w:val="20"/>
                <w:szCs w:val="20"/>
              </w:rPr>
              <w:t>/ 5</w:t>
            </w:r>
          </w:p>
        </w:tc>
      </w:tr>
      <w:tr>
        <w:trPr>
          <w:trHeight w:val="3600" w:hRule="exact"/>
        </w:trPr>
        <w:tc>
          <w:tcPr>
            <w:tcW w:w="2690"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numPr>
                <w:ilvl w:val="0"/>
                <w:numId w:val="5"/>
              </w:numPr>
              <w:tabs>
                <w:tab w:val="clear" w:pos="708"/>
              </w:tabs>
              <w:spacing w:before="0" w:after="0"/>
              <w:jc w:val="both"/>
              <w:rPr>
                <w:b/>
                <w:bCs/>
                <w:sz w:val="20"/>
                <w:szCs w:val="20"/>
              </w:rPr>
            </w:pPr>
            <w:r>
              <w:rPr>
                <w:b/>
                <w:bCs/>
                <w:sz w:val="20"/>
                <w:szCs w:val="20"/>
              </w:rPr>
              <w:t>Analyser et mobiliser les documents du dossier documentaire fourni pour répondre au sujet</w:t>
            </w:r>
          </w:p>
        </w:tc>
        <w:tc>
          <w:tcPr>
            <w:tcW w:w="6109" w:type="dxa"/>
            <w:tcBorders>
              <w:top w:val="single" w:sz="4" w:space="0" w:color="000000"/>
              <w:left w:val="single" w:sz="4" w:space="0" w:color="000000"/>
              <w:bottom w:val="single" w:sz="4" w:space="0" w:color="000000"/>
              <w:right w:val="single" w:sz="4" w:space="0" w:color="000000"/>
            </w:tcBorders>
            <w:shd w:fill="CDD4E9" w:val="clear"/>
          </w:tcPr>
          <w:p>
            <w:pPr>
              <w:pStyle w:val="Normal"/>
              <w:spacing w:before="0" w:after="0"/>
              <w:jc w:val="both"/>
              <w:rPr>
                <w:sz w:val="20"/>
                <w:szCs w:val="20"/>
              </w:rPr>
            </w:pPr>
            <w:r>
              <w:rPr>
                <w:sz w:val="20"/>
                <w:szCs w:val="20"/>
              </w:rPr>
              <w:t>Document 1 :</w:t>
            </w:r>
          </w:p>
          <w:p>
            <w:pPr>
              <w:pStyle w:val="Normal"/>
              <w:spacing w:before="0" w:after="0"/>
              <w:jc w:val="both"/>
              <w:rPr/>
            </w:pPr>
            <w:r>
              <w:rPr>
                <w:sz w:val="20"/>
                <w:szCs w:val="20"/>
              </w:rPr>
              <w:t xml:space="preserve">. Clémentine </w:t>
            </w:r>
            <w:r>
              <w:rPr>
                <w:rFonts w:eastAsia="Wingdings" w:cs="Wingdings" w:ascii="Wingdings" w:hAnsi="Wingdings"/>
                <w:sz w:val="20"/>
                <w:szCs w:val="20"/>
              </w:rPr>
              <w:sym w:font="Wingdings" w:char="f0e0"/>
            </w:r>
            <w:r>
              <w:rPr>
                <w:sz w:val="20"/>
                <w:szCs w:val="20"/>
              </w:rPr>
              <w:t xml:space="preserve"> Parents avocats </w:t>
            </w:r>
            <w:r>
              <w:rPr>
                <w:rFonts w:eastAsia="Wingdings" w:cs="Wingdings" w:ascii="Wingdings" w:hAnsi="Wingdings"/>
                <w:sz w:val="20"/>
                <w:szCs w:val="20"/>
              </w:rPr>
              <w:sym w:font="Wingdings" w:char="f0e0"/>
            </w:r>
            <w:r>
              <w:rPr>
                <w:sz w:val="20"/>
                <w:szCs w:val="20"/>
              </w:rPr>
              <w:t xml:space="preserve"> Socialisation primaire</w:t>
            </w:r>
          </w:p>
          <w:p>
            <w:pPr>
              <w:pStyle w:val="Normal"/>
              <w:spacing w:before="0" w:after="0"/>
              <w:jc w:val="both"/>
              <w:rPr/>
            </w:pPr>
            <w:r>
              <w:rPr>
                <w:sz w:val="20"/>
                <w:szCs w:val="20"/>
              </w:rPr>
              <w:t xml:space="preserve">. Elodie </w:t>
            </w:r>
            <w:r>
              <w:rPr>
                <w:rFonts w:eastAsia="Wingdings" w:cs="Wingdings" w:ascii="Wingdings" w:hAnsi="Wingdings"/>
                <w:sz w:val="20"/>
                <w:szCs w:val="20"/>
              </w:rPr>
              <w:sym w:font="Wingdings" w:char="f0e0"/>
            </w:r>
            <w:r>
              <w:rPr>
                <w:sz w:val="20"/>
                <w:szCs w:val="20"/>
              </w:rPr>
              <w:t xml:space="preserve"> Mouvements étudiants  </w:t>
            </w:r>
            <w:r>
              <w:rPr>
                <w:rFonts w:eastAsia="Wingdings" w:cs="Wingdings" w:ascii="Wingdings" w:hAnsi="Wingdings"/>
                <w:sz w:val="20"/>
                <w:szCs w:val="20"/>
              </w:rPr>
              <w:sym w:font="Wingdings" w:char="f0e0"/>
            </w:r>
            <w:r>
              <w:rPr>
                <w:sz w:val="20"/>
                <w:szCs w:val="20"/>
              </w:rPr>
              <w:t xml:space="preserve"> Socialisation secondaire</w:t>
            </w:r>
          </w:p>
          <w:p>
            <w:pPr>
              <w:pStyle w:val="Normal"/>
              <w:spacing w:before="0" w:after="0"/>
              <w:jc w:val="both"/>
              <w:rPr/>
            </w:pPr>
            <w:r>
              <w:rPr>
                <w:sz w:val="20"/>
                <w:szCs w:val="20"/>
              </w:rPr>
              <w:t xml:space="preserve">. Clémentine  </w:t>
            </w:r>
            <w:r>
              <w:rPr>
                <w:rFonts w:eastAsia="Wingdings" w:cs="Wingdings" w:ascii="Wingdings" w:hAnsi="Wingdings"/>
                <w:sz w:val="20"/>
                <w:szCs w:val="20"/>
              </w:rPr>
              <w:sym w:font="Wingdings" w:char="f0e0"/>
            </w:r>
            <w:r>
              <w:rPr>
                <w:sz w:val="20"/>
                <w:szCs w:val="20"/>
              </w:rPr>
              <w:t xml:space="preserve"> Tremplin pour sa carrière  </w:t>
            </w:r>
            <w:r>
              <w:rPr>
                <w:rFonts w:eastAsia="Wingdings" w:cs="Wingdings" w:ascii="Wingdings" w:hAnsi="Wingdings"/>
                <w:sz w:val="20"/>
                <w:szCs w:val="20"/>
              </w:rPr>
              <w:sym w:font="Wingdings" w:char="f0e0"/>
            </w:r>
            <w:r>
              <w:rPr>
                <w:sz w:val="20"/>
                <w:szCs w:val="20"/>
              </w:rPr>
              <w:t xml:space="preserve"> Incitations sélectives</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Document 2 :</w:t>
            </w:r>
          </w:p>
          <w:p>
            <w:pPr>
              <w:pStyle w:val="Normal"/>
              <w:spacing w:before="0" w:after="0"/>
              <w:jc w:val="both"/>
              <w:rPr>
                <w:sz w:val="20"/>
                <w:szCs w:val="20"/>
              </w:rPr>
            </w:pPr>
            <w:r>
              <w:rPr>
                <w:sz w:val="20"/>
                <w:szCs w:val="20"/>
              </w:rPr>
              <w:t>Trois comparaisons de chiffres (un par caractéristique sociale)</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 xml:space="preserve">Document 3 : </w:t>
            </w:r>
          </w:p>
          <w:p>
            <w:pPr>
              <w:pStyle w:val="Normal"/>
              <w:spacing w:before="0" w:after="0"/>
              <w:jc w:val="both"/>
              <w:rPr>
                <w:sz w:val="20"/>
                <w:szCs w:val="20"/>
              </w:rPr>
            </w:pPr>
            <w:r>
              <w:rPr>
                <w:sz w:val="20"/>
                <w:szCs w:val="20"/>
              </w:rPr>
              <w:t>. Plusieurs relais d’opinion arrêté</w:t>
            </w:r>
          </w:p>
          <w:p>
            <w:pPr>
              <w:pStyle w:val="Normal"/>
              <w:spacing w:before="0" w:after="0"/>
              <w:jc w:val="both"/>
              <w:rPr/>
            </w:pPr>
            <w:r>
              <w:rPr>
                <w:sz w:val="20"/>
                <w:szCs w:val="20"/>
              </w:rPr>
              <w:t xml:space="preserve">. « Le Gouvernement n’a pas fait grand-chose … » </w:t>
            </w:r>
            <w:r>
              <w:rPr>
                <w:rFonts w:eastAsia="Wingdings" w:cs="Wingdings" w:ascii="Wingdings" w:hAnsi="Wingdings"/>
                <w:sz w:val="20"/>
                <w:szCs w:val="20"/>
              </w:rPr>
              <w:sym w:font="Wingdings" w:char="f0e0"/>
            </w:r>
            <w:r>
              <w:rPr>
                <w:sz w:val="20"/>
                <w:szCs w:val="20"/>
              </w:rPr>
              <w:t xml:space="preserve"> Absence de politique publique ou Pas de tendance au compromis</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Document 3 :</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ab/>
            </w:r>
          </w:p>
        </w:tc>
        <w:tc>
          <w:tcPr>
            <w:tcW w:w="839"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spacing w:before="0" w:after="0"/>
              <w:jc w:val="right"/>
              <w:rPr>
                <w:sz w:val="20"/>
                <w:szCs w:val="20"/>
              </w:rPr>
            </w:pPr>
            <w:r>
              <w:rPr>
                <w:sz w:val="20"/>
                <w:szCs w:val="20"/>
              </w:rPr>
              <w:t>/ 4</w:t>
            </w:r>
          </w:p>
        </w:tc>
      </w:tr>
      <w:tr>
        <w:trPr>
          <w:trHeight w:val="1204" w:hRule="exact"/>
        </w:trPr>
        <w:tc>
          <w:tcPr>
            <w:tcW w:w="2690"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numPr>
                <w:ilvl w:val="0"/>
                <w:numId w:val="5"/>
              </w:numPr>
              <w:tabs>
                <w:tab w:val="clear" w:pos="708"/>
              </w:tabs>
              <w:spacing w:before="0" w:after="0"/>
              <w:jc w:val="both"/>
              <w:rPr>
                <w:b/>
                <w:bCs/>
                <w:sz w:val="20"/>
                <w:szCs w:val="20"/>
              </w:rPr>
            </w:pPr>
            <w:r>
              <w:rPr>
                <w:b/>
                <w:bCs/>
                <w:sz w:val="20"/>
                <w:szCs w:val="20"/>
              </w:rPr>
              <w:t>Conclure</w:t>
            </w:r>
          </w:p>
        </w:tc>
        <w:tc>
          <w:tcPr>
            <w:tcW w:w="6109" w:type="dxa"/>
            <w:tcBorders>
              <w:top w:val="single" w:sz="4" w:space="0" w:color="000000"/>
              <w:left w:val="single" w:sz="4" w:space="0" w:color="000000"/>
              <w:bottom w:val="single" w:sz="4" w:space="0" w:color="000000"/>
              <w:right w:val="single" w:sz="4" w:space="0" w:color="000000"/>
            </w:tcBorders>
            <w:shd w:fill="CDD4E9" w:val="clear"/>
          </w:tcPr>
          <w:p>
            <w:pPr>
              <w:pStyle w:val="Normal"/>
              <w:spacing w:before="0" w:after="0"/>
              <w:jc w:val="both"/>
              <w:rPr>
                <w:sz w:val="20"/>
                <w:szCs w:val="20"/>
              </w:rPr>
            </w:pPr>
            <w:r>
              <w:rPr>
                <w:sz w:val="20"/>
                <w:szCs w:val="20"/>
              </w:rPr>
              <w:t>- La conclusion répond au sujet,</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  Elle reprend les idées principales de l’argumentation.</w:t>
            </w:r>
          </w:p>
        </w:tc>
        <w:tc>
          <w:tcPr>
            <w:tcW w:w="839" w:type="dxa"/>
            <w:tcBorders>
              <w:top w:val="single" w:sz="4" w:space="0" w:color="000000"/>
              <w:left w:val="single" w:sz="4" w:space="0" w:color="000000"/>
              <w:bottom w:val="single" w:sz="4" w:space="0" w:color="000000"/>
              <w:right w:val="single" w:sz="4" w:space="0" w:color="000000"/>
            </w:tcBorders>
            <w:shd w:fill="CDD4E9" w:val="clear"/>
            <w:vAlign w:val="center"/>
          </w:tcPr>
          <w:p>
            <w:pPr>
              <w:pStyle w:val="Normal"/>
              <w:spacing w:before="0" w:after="0"/>
              <w:jc w:val="right"/>
              <w:rPr>
                <w:sz w:val="20"/>
                <w:szCs w:val="20"/>
              </w:rPr>
            </w:pPr>
            <w:r>
              <w:rPr>
                <w:sz w:val="20"/>
                <w:szCs w:val="20"/>
              </w:rPr>
              <w:t>/ 1</w:t>
            </w:r>
          </w:p>
        </w:tc>
      </w:tr>
    </w:tbl>
    <w:p>
      <w:pPr>
        <w:pStyle w:val="Normal"/>
        <w:spacing w:before="0" w:after="0"/>
        <w:jc w:val="both"/>
        <w:rPr/>
      </w:pPr>
      <w:r>
        <w:rPr/>
      </w:r>
    </w:p>
    <w:sectPr>
      <w:type w:val="continuous"/>
      <w:pgSz w:w="11906" w:h="16838"/>
      <w:pgMar w:left="1134" w:right="1134" w:gutter="0" w:header="0" w:top="1134" w:footer="0" w:bottom="1134"/>
      <w:formProt w:val="false"/>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Liberation Sans">
    <w:altName w:val="Arial"/>
    <w:charset w:val="00"/>
    <w:family w:val="swiss"/>
    <w:pitch w:val="variable"/>
  </w:font>
  <w:font w:name="Wingdings">
    <w:charset w:val="02"/>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0"/>
        </w:tabs>
        <w:ind w:left="962" w:hanging="284"/>
      </w:pPr>
      <w:rPr>
        <w:rFonts w:ascii="Times New Roman" w:hAnsi="Times New Roman" w:cs="Times New Roman" w:hint="default"/>
        <w:sz w:val="18"/>
        <w:w w:val="99"/>
      </w:rPr>
    </w:lvl>
    <w:lvl w:ilvl="1">
      <w:start w:val="1"/>
      <w:numFmt w:val="bullet"/>
      <w:lvlText w:val=""/>
      <w:lvlJc w:val="left"/>
      <w:pPr>
        <w:tabs>
          <w:tab w:val="num" w:pos="0"/>
        </w:tabs>
        <w:ind w:left="1660" w:hanging="284"/>
      </w:pPr>
      <w:rPr>
        <w:rFonts w:ascii="Symbol" w:hAnsi="Symbol" w:cs="Symbol" w:hint="default"/>
      </w:rPr>
    </w:lvl>
    <w:lvl w:ilvl="2">
      <w:start w:val="1"/>
      <w:numFmt w:val="bullet"/>
      <w:lvlText w:val=""/>
      <w:lvlJc w:val="left"/>
      <w:pPr>
        <w:tabs>
          <w:tab w:val="num" w:pos="0"/>
        </w:tabs>
        <w:ind w:left="2607" w:hanging="284"/>
      </w:pPr>
      <w:rPr>
        <w:rFonts w:ascii="Symbol" w:hAnsi="Symbol" w:cs="Symbol" w:hint="default"/>
      </w:rPr>
    </w:lvl>
    <w:lvl w:ilvl="3">
      <w:start w:val="1"/>
      <w:numFmt w:val="bullet"/>
      <w:lvlText w:val=""/>
      <w:lvlJc w:val="left"/>
      <w:pPr>
        <w:tabs>
          <w:tab w:val="num" w:pos="0"/>
        </w:tabs>
        <w:ind w:left="3554" w:hanging="284"/>
      </w:pPr>
      <w:rPr>
        <w:rFonts w:ascii="Symbol" w:hAnsi="Symbol" w:cs="Symbol" w:hint="default"/>
      </w:rPr>
    </w:lvl>
    <w:lvl w:ilvl="4">
      <w:start w:val="1"/>
      <w:numFmt w:val="bullet"/>
      <w:lvlText w:val=""/>
      <w:lvlJc w:val="left"/>
      <w:pPr>
        <w:tabs>
          <w:tab w:val="num" w:pos="0"/>
        </w:tabs>
        <w:ind w:left="4502" w:hanging="284"/>
      </w:pPr>
      <w:rPr>
        <w:rFonts w:ascii="Symbol" w:hAnsi="Symbol" w:cs="Symbol" w:hint="default"/>
      </w:rPr>
    </w:lvl>
    <w:lvl w:ilvl="5">
      <w:start w:val="1"/>
      <w:numFmt w:val="bullet"/>
      <w:lvlText w:val=""/>
      <w:lvlJc w:val="left"/>
      <w:pPr>
        <w:tabs>
          <w:tab w:val="num" w:pos="0"/>
        </w:tabs>
        <w:ind w:left="5449" w:hanging="284"/>
      </w:pPr>
      <w:rPr>
        <w:rFonts w:ascii="Symbol" w:hAnsi="Symbol" w:cs="Symbol" w:hint="default"/>
      </w:rPr>
    </w:lvl>
    <w:lvl w:ilvl="6">
      <w:start w:val="1"/>
      <w:numFmt w:val="bullet"/>
      <w:lvlText w:val=""/>
      <w:lvlJc w:val="left"/>
      <w:pPr>
        <w:tabs>
          <w:tab w:val="num" w:pos="0"/>
        </w:tabs>
        <w:ind w:left="6396" w:hanging="284"/>
      </w:pPr>
      <w:rPr>
        <w:rFonts w:ascii="Symbol" w:hAnsi="Symbol" w:cs="Symbol" w:hint="default"/>
      </w:rPr>
    </w:lvl>
    <w:lvl w:ilvl="7">
      <w:start w:val="1"/>
      <w:numFmt w:val="bullet"/>
      <w:lvlText w:val=""/>
      <w:lvlJc w:val="left"/>
      <w:pPr>
        <w:tabs>
          <w:tab w:val="num" w:pos="0"/>
        </w:tabs>
        <w:ind w:left="7344" w:hanging="284"/>
      </w:pPr>
      <w:rPr>
        <w:rFonts w:ascii="Symbol" w:hAnsi="Symbol" w:cs="Symbol" w:hint="default"/>
      </w:rPr>
    </w:lvl>
    <w:lvl w:ilvl="8">
      <w:start w:val="1"/>
      <w:numFmt w:val="bullet"/>
      <w:lvlText w:val=""/>
      <w:lvlJc w:val="left"/>
      <w:pPr>
        <w:tabs>
          <w:tab w:val="num" w:pos="0"/>
        </w:tabs>
        <w:ind w:left="8291" w:hanging="284"/>
      </w:pPr>
      <w:rPr>
        <w:rFonts w:ascii="Symbol" w:hAnsi="Symbol" w:cs="Symbol" w:hint="default"/>
      </w:rPr>
    </w:lvl>
  </w:abstractNum>
  <w:abstractNum w:abstractNumId="3">
    <w:lvl w:ilvl="0">
      <w:start w:val="2"/>
      <w:numFmt w:val="decimal"/>
      <w:lvlText w:val="%1."/>
      <w:lvlJc w:val="left"/>
      <w:pPr>
        <w:tabs>
          <w:tab w:val="num" w:pos="2832"/>
        </w:tabs>
        <w:ind w:left="360" w:hanging="360"/>
      </w:pPr>
      <w:rPr>
        <w:smallCaps w:val="false"/>
        <w:caps w:val="false"/>
        <w:outline w:val="false"/>
        <w:dstrike w:val="false"/>
        <w:strike w:val="false"/>
        <w:vertAlign w:val="baseline"/>
        <w:position w:val="0"/>
        <w:sz w:val="20"/>
        <w:sz w:val="20"/>
        <w:spacing w:val="0"/>
        <w:b/>
        <w:kern w:val="0"/>
        <w:w w:val="100"/>
        <w:emboss w:val="false"/>
        <w:imprint w:val="false"/>
      </w:rPr>
    </w:lvl>
    <w:lvl w:ilvl="1">
      <w:start w:val="1"/>
      <w:numFmt w:val="lowerLetter"/>
      <w:lvlText w:val="%2."/>
      <w:lvlJc w:val="left"/>
      <w:pPr>
        <w:tabs>
          <w:tab w:val="num" w:pos="2832"/>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2832"/>
        </w:tabs>
        <w:ind w:left="216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2124"/>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2832"/>
        </w:tabs>
        <w:ind w:left="36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2832"/>
        </w:tabs>
        <w:ind w:left="432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2832"/>
        </w:tabs>
        <w:ind w:left="504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2832"/>
        </w:tabs>
        <w:ind w:left="576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2832"/>
        </w:tabs>
        <w:ind w:left="648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
    <w:lvl w:ilvl="0">
      <w:start w:val="3"/>
      <w:numFmt w:val="decimal"/>
      <w:lvlText w:val="%1."/>
      <w:lvlJc w:val="left"/>
      <w:pPr>
        <w:tabs>
          <w:tab w:val="num" w:pos="2832"/>
        </w:tabs>
        <w:ind w:left="360" w:hanging="360"/>
      </w:pPr>
      <w:rPr>
        <w:smallCaps w:val="false"/>
        <w:caps w:val="false"/>
        <w:outline w:val="false"/>
        <w:dstrike w:val="false"/>
        <w:strike w:val="false"/>
        <w:vertAlign w:val="baseline"/>
        <w:position w:val="0"/>
        <w:sz w:val="20"/>
        <w:sz w:val="20"/>
        <w:spacing w:val="0"/>
        <w:b/>
        <w:kern w:val="0"/>
        <w:w w:val="100"/>
        <w:emboss w:val="false"/>
        <w:imprint w:val="false"/>
      </w:rPr>
    </w:lvl>
    <w:lvl w:ilvl="1">
      <w:start w:val="1"/>
      <w:numFmt w:val="lowerLetter"/>
      <w:lvlText w:val="%2."/>
      <w:lvlJc w:val="left"/>
      <w:pPr>
        <w:tabs>
          <w:tab w:val="num" w:pos="2832"/>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2832"/>
        </w:tabs>
        <w:ind w:left="216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2124"/>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2832"/>
        </w:tabs>
        <w:ind w:left="36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2832"/>
        </w:tabs>
        <w:ind w:left="432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2832"/>
        </w:tabs>
        <w:ind w:left="504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2832"/>
        </w:tabs>
        <w:ind w:left="576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2832"/>
        </w:tabs>
        <w:ind w:left="648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5">
    <w:lvl w:ilvl="0">
      <w:start w:val="5"/>
      <w:numFmt w:val="decimal"/>
      <w:lvlText w:val="%1."/>
      <w:lvlJc w:val="left"/>
      <w:pPr>
        <w:tabs>
          <w:tab w:val="num" w:pos="2832"/>
        </w:tabs>
        <w:ind w:left="360" w:hanging="360"/>
      </w:pPr>
      <w:rPr>
        <w:smallCaps w:val="false"/>
        <w:caps w:val="false"/>
        <w:outline w:val="false"/>
        <w:dstrike w:val="false"/>
        <w:strike w:val="false"/>
        <w:vertAlign w:val="baseline"/>
        <w:position w:val="0"/>
        <w:sz w:val="20"/>
        <w:sz w:val="20"/>
        <w:spacing w:val="0"/>
        <w:b/>
        <w:kern w:val="0"/>
        <w:w w:val="100"/>
        <w:emboss w:val="false"/>
        <w:imprint w:val="false"/>
      </w:rPr>
    </w:lvl>
    <w:lvl w:ilvl="1">
      <w:start w:val="1"/>
      <w:numFmt w:val="lowerLetter"/>
      <w:lvlText w:val="%2."/>
      <w:lvlJc w:val="left"/>
      <w:pPr>
        <w:tabs>
          <w:tab w:val="num" w:pos="2832"/>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2832"/>
        </w:tabs>
        <w:ind w:left="2160" w:hanging="30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2124"/>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2832"/>
        </w:tabs>
        <w:ind w:left="36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2832"/>
        </w:tabs>
        <w:ind w:left="4320" w:hanging="30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2832"/>
        </w:tabs>
        <w:ind w:left="504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2832"/>
        </w:tabs>
        <w:ind w:left="576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2832"/>
        </w:tabs>
        <w:ind w:left="6480" w:hanging="3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6">
    <w:lvl w:ilvl="0">
      <w:start w:val="1"/>
      <w:numFmt w:val="decimal"/>
      <w:lvlText w:val="%1."/>
      <w:lvlJc w:val="left"/>
      <w:pPr>
        <w:tabs>
          <w:tab w:val="num" w:pos="0"/>
        </w:tabs>
        <w:ind w:left="94" w:hanging="9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fr-FR"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olor w:val="auto"/>
      <w:kern w:val="0"/>
      <w:sz w:val="22"/>
      <w:szCs w:val="22"/>
      <w:lang w:val="fr-FR" w:eastAsia="en-US" w:bidi="ar-SA"/>
    </w:rPr>
  </w:style>
  <w:style w:type="paragraph" w:styleId="Heading1">
    <w:name w:val="heading 1"/>
    <w:basedOn w:val="Normal"/>
    <w:next w:val="Normal"/>
    <w:qFormat/>
    <w:pPr>
      <w:keepNext w:val="true"/>
      <w:keepLines/>
      <w:numPr>
        <w:ilvl w:val="0"/>
        <w:numId w:val="0"/>
      </w:numPr>
      <w:spacing w:before="240" w:after="0"/>
      <w:outlineLvl w:val="0"/>
    </w:pPr>
    <w:rPr>
      <w:rFonts w:ascii="Calibri Light" w:hAnsi="Calibri Light" w:eastAsia="Calibri" w:cs="Tahoma"/>
      <w:color w:val="2F5496"/>
      <w:sz w:val="32"/>
      <w:szCs w:val="32"/>
    </w:rPr>
  </w:style>
  <w:style w:type="paragraph" w:styleId="Heading2">
    <w:name w:val="heading 2"/>
    <w:basedOn w:val="Normal"/>
    <w:qFormat/>
    <w:pPr>
      <w:widowControl w:val="false"/>
      <w:numPr>
        <w:ilvl w:val="0"/>
        <w:numId w:val="0"/>
      </w:numPr>
      <w:spacing w:lineRule="auto" w:line="240" w:before="0" w:after="0"/>
      <w:ind w:hanging="0" w:left="490" w:right="0"/>
      <w:outlineLvl w:val="1"/>
    </w:pPr>
    <w:rPr>
      <w:rFonts w:ascii="Arial" w:hAnsi="Arial" w:eastAsia="Times New Roman" w:cs="Arial"/>
      <w:b/>
      <w:bCs/>
      <w:sz w:val="24"/>
      <w:szCs w:val="24"/>
      <w:lang w:eastAsia="fr-FR"/>
    </w:rPr>
  </w:style>
  <w:style w:type="character" w:styleId="DefaultParagraphFont">
    <w:name w:val="Default Paragraph Font"/>
    <w:qFormat/>
    <w:rPr/>
  </w:style>
  <w:style w:type="character" w:styleId="Titre2Car">
    <w:name w:val="Titre 2 Car"/>
    <w:basedOn w:val="DefaultParagraphFont"/>
    <w:qFormat/>
    <w:rPr>
      <w:rFonts w:ascii="Arial" w:hAnsi="Arial" w:eastAsia="Times New Roman" w:cs="Arial"/>
      <w:b/>
      <w:bCs/>
      <w:sz w:val="24"/>
      <w:szCs w:val="24"/>
      <w:lang w:eastAsia="fr-FR"/>
    </w:rPr>
  </w:style>
  <w:style w:type="character" w:styleId="CorpsdetexteCar">
    <w:name w:val="Corps de texte Car"/>
    <w:basedOn w:val="DefaultParagraphFont"/>
    <w:qFormat/>
    <w:rPr>
      <w:rFonts w:ascii="Arial" w:hAnsi="Arial" w:eastAsia="Times New Roman" w:cs="Arial"/>
      <w:sz w:val="24"/>
      <w:szCs w:val="24"/>
      <w:lang w:eastAsia="fr-FR"/>
    </w:rPr>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Titre1Car">
    <w:name w:val="Titre 1 Car"/>
    <w:basedOn w:val="DefaultParagraphFont"/>
    <w:qFormat/>
    <w:rPr>
      <w:rFonts w:ascii="Calibri Light" w:hAnsi="Calibri Light" w:eastAsia="Calibri" w:cs="Tahoma"/>
      <w:color w:val="2F5496"/>
      <w:sz w:val="32"/>
      <w:szCs w:val="32"/>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widowControl w:val="false"/>
      <w:spacing w:lineRule="auto" w:line="240" w:before="0" w:after="0"/>
    </w:pPr>
    <w:rPr>
      <w:rFonts w:ascii="Arial" w:hAnsi="Arial" w:eastAsia="Times New Roman" w:cs="Arial"/>
      <w:sz w:val="24"/>
      <w:szCs w:val="24"/>
      <w:lang w:eastAsia="fr-F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widowControl w:val="false"/>
      <w:spacing w:lineRule="auto" w:line="240" w:before="0" w:after="0"/>
      <w:ind w:hanging="0" w:left="720" w:right="0"/>
      <w:contextualSpacing/>
    </w:pPr>
    <w:rPr>
      <w:rFonts w:ascii="Arial" w:hAnsi="Arial" w:eastAsia="Times New Roman" w:cs="Arial"/>
      <w:lang w:eastAsia="fr-FR"/>
    </w:rPr>
  </w:style>
  <w:style w:type="paragraph" w:styleId="Contenudetableau">
    <w:name w:val="Contenu de tableau"/>
    <w:basedOn w:val="Normal"/>
    <w:qFormat/>
    <w:pPr>
      <w:widowControl w:val="false"/>
      <w:suppressLineNumbers/>
    </w:pPr>
    <w:rPr/>
  </w:style>
  <w:style w:type="numbering" w:styleId="Pasdeliste">
    <w:name w:val="Pas de list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LibreOffice/24.8.6.2$Windows_X86_64 LibreOffice_project/6d98ba145e9a8a39fc57bcc76981d1fb1316c60c</Application>
  <AppVersion>15.0000</AppVersion>
  <Pages>5</Pages>
  <Words>2203</Words>
  <Characters>12293</Characters>
  <CharactersWithSpaces>14372</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2021-01-24T14:24:00Z</dcterms:created>
  <dc:creator>Thomas</dc:creator>
  <dc:description/>
  <dc:language>fr-FR</dc:language>
  <cp:lastModifiedBy/>
  <cp:lastPrinted>2021-02-01T06:16:00Z</cp:lastPrinted>
  <dcterms:modified xsi:type="dcterms:W3CDTF">2024-01-16T14:27:03Z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