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left"/>
        <w:rPr>
          <w:rFonts w:ascii="inherit" w:hAnsi="inherit"/>
          <w:b/>
          <w:bCs/>
          <w:i w:val="false"/>
          <w:caps w:val="false"/>
          <w:smallCaps w:val="false"/>
          <w:color w:val="333333"/>
          <w:spacing w:val="0"/>
          <w:sz w:val="22"/>
          <w:szCs w:val="22"/>
        </w:rPr>
      </w:pPr>
      <w:r>
        <w:rPr>
          <w:rFonts w:ascii="inherit" w:hAnsi="inherit"/>
          <w:b/>
          <w:bCs/>
          <w:i w:val="false"/>
          <w:caps w:val="false"/>
          <w:smallCaps w:val="false"/>
          <w:color w:val="333333"/>
          <w:spacing w:val="0"/>
          <w:sz w:val="22"/>
          <w:szCs w:val="22"/>
        </w:rPr>
        <w:t>ENTRAINEMENT : Etude de document statistique : 6 points</w:t>
      </w:r>
    </w:p>
    <w:p>
      <w:pPr>
        <w:pStyle w:val="Heading2"/>
        <w:bidi w:val="0"/>
        <w:jc w:val="left"/>
        <w:rPr>
          <w:rFonts w:ascii="inherit" w:hAnsi="inherit"/>
          <w:b/>
          <w:bCs/>
          <w:i w:val="false"/>
          <w:caps w:val="false"/>
          <w:smallCaps w:val="false"/>
          <w:color w:val="333333"/>
          <w:spacing w:val="0"/>
          <w:sz w:val="20"/>
          <w:szCs w:val="20"/>
        </w:rPr>
      </w:pPr>
      <w:bookmarkStart w:id="0" w:name="flourish-header-title"/>
      <w:bookmarkEnd w:id="0"/>
      <w:r>
        <w:rPr>
          <w:rFonts w:ascii="inherit" w:hAnsi="inherit"/>
          <w:b/>
          <w:bCs/>
          <w:i w:val="false"/>
          <w:caps w:val="false"/>
          <w:smallCaps w:val="false"/>
          <w:color w:val="333333"/>
          <w:spacing w:val="0"/>
          <w:sz w:val="20"/>
          <w:szCs w:val="20"/>
        </w:rPr>
        <w:t>Émissions de gaz à effet de serre des États membres de l'Union européenne</w:t>
      </w:r>
    </w:p>
    <w:p>
      <w:pPr>
        <w:pStyle w:val="Heading3"/>
        <w:widowControl/>
        <w:bidi w:val="0"/>
        <w:ind w:hanging="0" w:left="0" w:right="0"/>
        <w:jc w:val="left"/>
        <w:rPr>
          <w:rFonts w:ascii="inherit" w:hAnsi="inherit"/>
          <w:b/>
          <w:bCs/>
          <w:i w:val="false"/>
          <w:caps w:val="false"/>
          <w:smallCaps w:val="false"/>
          <w:color w:val="333333"/>
          <w:spacing w:val="0"/>
          <w:sz w:val="20"/>
          <w:szCs w:val="20"/>
        </w:rPr>
      </w:pPr>
      <w:bookmarkStart w:id="1" w:name="flourish-header-subtitle"/>
      <w:bookmarkEnd w:id="1"/>
      <w:r>
        <w:rPr>
          <w:rFonts w:ascii="inherit" w:hAnsi="inherit"/>
          <w:b/>
          <w:bCs/>
          <w:i w:val="false"/>
          <w:caps w:val="false"/>
          <w:smallCaps w:val="false"/>
          <w:color w:val="333333"/>
          <w:spacing w:val="0"/>
          <w:sz w:val="20"/>
          <w:szCs w:val="20"/>
        </w:rPr>
        <w:t>En millions de t</w:t>
      </w:r>
      <w:r>
        <w:rPr>
          <w:rFonts w:ascii="inherit" w:hAnsi="inherit"/>
          <w:b/>
          <w:bCs/>
          <w:i w:val="false"/>
          <w:caps w:val="false"/>
          <w:smallCaps w:val="false"/>
          <w:color w:val="333333"/>
          <w:spacing w:val="0"/>
          <w:sz w:val="20"/>
          <w:szCs w:val="20"/>
        </w:rPr>
        <w:t xml:space="preserve">onnes de </w:t>
      </w:r>
      <w:r>
        <w:rPr>
          <w:rFonts w:ascii="inherit" w:hAnsi="inherit"/>
          <w:b/>
          <w:bCs/>
          <w:i w:val="false"/>
          <w:caps w:val="false"/>
          <w:smallCaps w:val="false"/>
          <w:color w:val="333333"/>
          <w:spacing w:val="0"/>
          <w:sz w:val="20"/>
          <w:szCs w:val="20"/>
        </w:rPr>
        <w:t>CO2 , en 2024</w:t>
      </w:r>
    </w:p>
    <w:p>
      <w:pPr>
        <w:pStyle w:val="Normal"/>
        <w:bidi w:val="0"/>
        <w:jc w:val="left"/>
        <w:rPr/>
      </w:pPr>
      <w:r>
        <w:rPr/>
        <w:t xml:space="preserve">Document </w:t>
      </w:r>
    </w:p>
    <w:p>
      <w:pPr>
        <w:pStyle w:val="Normal"/>
        <w:widowControl/>
        <w:bidi w:val="0"/>
        <w:ind w:hanging="0" w:left="0" w:right="0"/>
        <w:jc w:val="left"/>
        <w:rPr/>
      </w:pPr>
      <w:r>
        <w:drawing>
          <wp:anchor behindDoc="0" distT="0" distB="0" distL="0" distR="0" simplePos="0" locked="0" layoutInCell="0" allowOverlap="1" relativeHeight="2">
            <wp:simplePos x="0" y="0"/>
            <wp:positionH relativeFrom="column">
              <wp:posOffset>0</wp:posOffset>
            </wp:positionH>
            <wp:positionV relativeFrom="paragraph">
              <wp:posOffset>1355090</wp:posOffset>
            </wp:positionV>
            <wp:extent cx="5861050" cy="340106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5861050" cy="3401060"/>
                    </a:xfrm>
                    <a:prstGeom prst="rect">
                      <a:avLst/>
                    </a:prstGeom>
                    <a:noFill/>
                  </pic:spPr>
                </pic:pic>
              </a:graphicData>
            </a:graphic>
          </wp:anchor>
        </w:drawing>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6120130" cy="1355725"/>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6120130" cy="1355725"/>
                    </a:xfrm>
                    <a:prstGeom prst="rect">
                      <a:avLst/>
                    </a:prstGeom>
                    <a:noFill/>
                  </pic:spPr>
                </pic:pic>
              </a:graphicData>
            </a:graphic>
          </wp:anchor>
        </w:drawing>
      </w:r>
      <w:r>
        <w:rPr>
          <w:rFonts w:ascii="Canva Sans Variable" w:hAnsi="Canva Sans Variable"/>
          <w:b w:val="false"/>
          <w:i w:val="false"/>
          <w:caps w:val="false"/>
          <w:smallCaps w:val="false"/>
          <w:color w:val="333333"/>
          <w:spacing w:val="0"/>
          <w:sz w:val="21"/>
        </w:rPr>
        <w:t xml:space="preserve">Source : EDGAR Community GHG Database / Commission européenne, JRC et Agence internationale de l'énergie (IEA) / </w:t>
      </w:r>
      <w:r>
        <w:rPr>
          <w:rFonts w:ascii="Canva Sans Variable" w:hAnsi="Canva Sans Variable"/>
          <w:b w:val="false"/>
          <w:i w:val="false"/>
          <w:caps w:val="false"/>
          <w:smallCaps w:val="false"/>
          <w:color w:val="333333"/>
          <w:spacing w:val="0"/>
          <w:sz w:val="21"/>
        </w:rPr>
        <w:t>Toute l’Europe.eu 2025</w:t>
      </w:r>
    </w:p>
    <w:p>
      <w:pPr>
        <w:pStyle w:val="Normal"/>
        <w:widowControl/>
        <w:bidi w:val="0"/>
        <w:ind w:hanging="0" w:left="0" w:right="0"/>
        <w:jc w:val="left"/>
        <w:rPr/>
      </w:pPr>
      <w:r>
        <w:rPr>
          <w:rFonts w:ascii="Canva Sans Variable" w:hAnsi="Canva Sans Variable"/>
          <w:b w:val="false"/>
          <w:i w:val="false"/>
          <w:caps w:val="false"/>
          <w:smallCaps w:val="false"/>
          <w:color w:val="333333"/>
          <w:spacing w:val="0"/>
          <w:sz w:val="21"/>
        </w:rPr>
        <w:t xml:space="preserve"> • </w:t>
      </w:r>
      <w:r>
        <w:rPr>
          <w:rFonts w:ascii="Canva Sans Variable" w:hAnsi="Canva Sans Variable"/>
          <w:b w:val="false"/>
          <w:i w:val="false"/>
          <w:caps w:val="false"/>
          <w:smallCaps w:val="false"/>
          <w:color w:val="333333"/>
          <w:spacing w:val="0"/>
          <w:sz w:val="21"/>
        </w:rPr>
        <w:t>L'indicateur mesure les émissions de gaz à effet de serre dans chaque État membre en millions de tonnes équivalent CO2 (MtCO2e), incluant l'aviation, le transport maritime et l'utilisation des terres (LULUCF), dont les émissions liées aux feux de forêt.</w:t>
      </w:r>
      <w:r>
        <w:rPr/>
        <w:t xml:space="preserve"> </w:t>
      </w:r>
    </w:p>
    <w:p>
      <w:pPr>
        <w:pStyle w:val="Normal"/>
        <w:widowControl/>
        <w:bidi w:val="0"/>
        <w:ind w:hanging="0" w:left="0" w:right="0"/>
        <w:jc w:val="left"/>
        <w:rPr/>
      </w:pPr>
      <w:r>
        <w:rPr/>
      </w:r>
    </w:p>
    <w:p>
      <w:pPr>
        <w:pStyle w:val="Normal"/>
        <w:widowControl/>
        <w:bidi w:val="0"/>
        <w:ind w:hanging="0" w:left="0" w:right="0"/>
        <w:jc w:val="left"/>
        <w:rPr/>
      </w:pPr>
      <w:r>
        <w:rPr/>
      </w:r>
    </w:p>
    <w:p>
      <w:pPr>
        <w:pStyle w:val="Normal"/>
        <w:widowControl/>
        <w:bidi w:val="0"/>
        <w:ind w:hanging="0" w:left="0" w:right="0"/>
        <w:jc w:val="left"/>
        <w:rPr/>
      </w:pPr>
      <w:r>
        <w:rPr>
          <w:b/>
          <w:bCs/>
        </w:rPr>
        <w:t>Question 1 :</w:t>
      </w:r>
      <w:r>
        <w:rPr/>
        <w:t xml:space="preserve"> </w:t>
      </w:r>
      <w:r>
        <w:rPr/>
        <w:t>Comparez les émissions de tonnes de CO2 de la République Tchèque avec celle de  Malte.</w:t>
      </w:r>
    </w:p>
    <w:p>
      <w:pPr>
        <w:pStyle w:val="Normal"/>
        <w:widowControl/>
        <w:bidi w:val="0"/>
        <w:ind w:hanging="0" w:left="0" w:right="0"/>
        <w:jc w:val="left"/>
        <w:rPr/>
      </w:pPr>
      <w:r>
        <w:rPr/>
      </w:r>
    </w:p>
    <w:p>
      <w:pPr>
        <w:pStyle w:val="Normal"/>
        <w:widowControl/>
        <w:bidi w:val="0"/>
        <w:ind w:hanging="0" w:left="0" w:right="0"/>
        <w:jc w:val="left"/>
        <w:rPr/>
      </w:pPr>
      <w:r>
        <w:rPr/>
      </w:r>
    </w:p>
    <w:p>
      <w:pPr>
        <w:pStyle w:val="Normal"/>
        <w:widowControl/>
        <w:bidi w:val="0"/>
        <w:ind w:hanging="0" w:left="0" w:right="0"/>
        <w:jc w:val="left"/>
        <w:rPr/>
      </w:pPr>
      <w:r>
        <w:rPr>
          <w:b/>
          <w:bCs/>
        </w:rPr>
        <w:t>Question 2 :</w:t>
      </w:r>
      <w:r>
        <w:rPr/>
        <w:t xml:space="preserve"> </w:t>
      </w:r>
      <w:r>
        <w:rPr/>
        <w:t>A l’aide du document et de vos connaissances, caractérisez  la défaillance de marché  concernant les états membres de l’Union Européenne.</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inherit">
    <w:charset w:val="00"/>
    <w:family w:val="auto"/>
    <w:pitch w:val="default"/>
  </w:font>
  <w:font w:name="Canva Sans Variable">
    <w:charset w:val="00"/>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fr-FR" w:eastAsia="zh-CN" w:bidi="hi-IN"/>
    </w:rPr>
  </w:style>
  <w:style w:type="paragraph" w:styleId="Heading2">
    <w:name w:val="heading 2"/>
    <w:basedOn w:val="Titre"/>
    <w:next w:val="BodyText"/>
    <w:qFormat/>
    <w:pPr>
      <w:spacing w:before="200" w:after="120"/>
      <w:outlineLvl w:val="1"/>
    </w:pPr>
    <w:rPr>
      <w:rFonts w:ascii="Liberation Serif" w:hAnsi="Liberation Serif" w:eastAsia="NSimSun" w:cs="Arial"/>
      <w:b/>
      <w:bCs/>
      <w:sz w:val="36"/>
      <w:szCs w:val="36"/>
    </w:rPr>
  </w:style>
  <w:style w:type="paragraph" w:styleId="Heading3">
    <w:name w:val="heading 3"/>
    <w:basedOn w:val="Titre"/>
    <w:next w:val="BodyText"/>
    <w:qFormat/>
    <w:pPr>
      <w:spacing w:before="140" w:after="120"/>
      <w:outlineLvl w:val="2"/>
    </w:pPr>
    <w:rPr>
      <w:rFonts w:ascii="Liberation Serif" w:hAnsi="Liberation Serif" w:eastAsia="NSimSun" w:cs="Arial"/>
      <w:b/>
      <w:bCs/>
      <w:sz w:val="28"/>
      <w:szCs w:val="28"/>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TotalTime>
  <Application>LibreOffice/24.8.6.2$Windows_X86_64 LibreOffice_project/6d98ba145e9a8a39fc57bcc76981d1fb1316c60c</Application>
  <AppVersion>15.0000</AppVersion>
  <Pages>1</Pages>
  <Words>133</Words>
  <Characters>685</Characters>
  <CharactersWithSpaces>816</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2025-12-15T20:23:31Z</dcterms:created>
  <dc:creator/>
  <dc:description/>
  <dc:language>fr-FR</dc:language>
  <cp:lastModifiedBy/>
  <dcterms:modified xsi:type="dcterms:W3CDTF">2025-12-15T20:58:33Z</dcterms:modified>
  <cp:revision>3</cp:revision>
  <dc:subject/>
  <dc:title/>
</cp:coreProperties>
</file>