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5.gif" ContentType="image/gif"/>
  <Override PartName="/word/media/image3.jpeg" ContentType="image/jpeg"/>
  <Override PartName="/word/media/image6.png" ContentType="image/png"/>
  <Override PartName="/word/media/image7.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63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158"/>
        <w:gridCol w:w="5479"/>
      </w:tblGrid>
      <w:tr>
        <w:trPr/>
        <w:tc>
          <w:tcPr>
            <w:tcW w:w="4158" w:type="dxa"/>
            <w:tcBorders/>
          </w:tcPr>
          <w:p>
            <w:pPr>
              <w:pStyle w:val="Normal"/>
              <w:rPr>
                <w:bCs/>
                <w:sz w:val="20"/>
                <w:szCs w:val="20"/>
              </w:rPr>
            </w:pPr>
            <w:r>
              <w:rPr>
                <w:bCs/>
                <w:smallCaps/>
                <w:sz w:val="20"/>
                <w:szCs w:val="20"/>
              </w:rPr>
              <w:t>Economie</w:t>
            </w:r>
          </w:p>
        </w:tc>
        <w:tc>
          <w:tcPr>
            <w:tcW w:w="5479" w:type="dxa"/>
            <w:tcBorders/>
          </w:tcPr>
          <w:p>
            <w:pPr>
              <w:pStyle w:val="Normal"/>
              <w:jc w:val="right"/>
              <w:rPr>
                <w:bCs/>
                <w:smallCaps/>
                <w:sz w:val="20"/>
                <w:szCs w:val="20"/>
              </w:rPr>
            </w:pPr>
            <w:r>
              <w:rPr>
                <w:bCs/>
                <w:smallCaps/>
                <w:sz w:val="20"/>
                <w:szCs w:val="20"/>
              </w:rPr>
              <w:t>Chapitre – Comment se forment les prix sur un marché ?</w:t>
            </w:r>
          </w:p>
        </w:tc>
      </w:tr>
    </w:tbl>
    <w:p>
      <w:pPr>
        <w:pStyle w:val="Normal"/>
        <w:jc w:val="center"/>
        <w:rPr>
          <w:rFonts w:ascii="Century Gothic" w:hAnsi="Century Gothic"/>
          <w:sz w:val="16"/>
          <w:szCs w:val="16"/>
        </w:rPr>
      </w:pPr>
      <w:r>
        <w:rPr>
          <w:rFonts w:ascii="Century Gothic" w:hAnsi="Century Gothic"/>
          <w:sz w:val="16"/>
          <w:szCs w:val="16"/>
        </w:rPr>
      </w:r>
    </w:p>
    <w:tbl>
      <w:tblPr>
        <w:tblW w:w="963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391"/>
        <w:gridCol w:w="3246"/>
      </w:tblGrid>
      <w:tr>
        <w:trPr/>
        <w:tc>
          <w:tcPr>
            <w:tcW w:w="6391" w:type="dxa"/>
            <w:tcBorders/>
            <w:vAlign w:val="center"/>
          </w:tcPr>
          <w:p>
            <w:pPr>
              <w:pStyle w:val="Normal"/>
              <w:jc w:val="center"/>
              <w:rPr>
                <w:sz w:val="32"/>
                <w:szCs w:val="32"/>
              </w:rPr>
            </w:pPr>
            <w:r>
              <w:rPr/>
            </w:r>
          </w:p>
          <w:p>
            <w:pPr>
              <w:pStyle w:val="Normal"/>
              <w:tabs>
                <w:tab w:val="clear" w:pos="708"/>
                <w:tab w:val="left" w:pos="426" w:leader="none"/>
              </w:tabs>
              <w:jc w:val="center"/>
              <w:rPr>
                <w:rFonts w:ascii="Lucida Handwriting" w:hAnsi="Lucida Handwriting"/>
                <w:b/>
                <w:sz w:val="32"/>
                <w:szCs w:val="32"/>
              </w:rPr>
            </w:pPr>
            <w:r>
              <w:rPr>
                <w:rFonts w:ascii="Lucida Handwriting" w:hAnsi="Lucida Handwriting"/>
                <w:b/>
                <w:sz w:val="32"/>
                <w:szCs w:val="32"/>
              </w:rPr>
              <w:t>Quels sont les effets d’une taxe et d’une subvention sur l’équilibre du marché ?</w:t>
            </w:r>
          </w:p>
          <w:p>
            <w:pPr>
              <w:pStyle w:val="Normal"/>
              <w:tabs>
                <w:tab w:val="clear" w:pos="708"/>
                <w:tab w:val="left" w:pos="426" w:leader="none"/>
              </w:tabs>
              <w:jc w:val="center"/>
              <w:rPr>
                <w:b/>
                <w:sz w:val="10"/>
                <w:szCs w:val="10"/>
              </w:rPr>
            </w:pPr>
            <w:r>
              <w:rPr>
                <w:b/>
                <w:sz w:val="10"/>
                <w:szCs w:val="10"/>
              </w:rPr>
            </w:r>
          </w:p>
          <w:p>
            <w:pPr>
              <w:pStyle w:val="Normal"/>
              <w:tabs>
                <w:tab w:val="clear" w:pos="708"/>
                <w:tab w:val="left" w:pos="426" w:leader="none"/>
              </w:tabs>
              <w:jc w:val="center"/>
              <w:rPr>
                <w:rFonts w:cs="Arial"/>
                <w:sz w:val="36"/>
                <w:szCs w:val="36"/>
              </w:rPr>
            </w:pPr>
            <w:r>
              <w:rPr>
                <w:b/>
              </w:rPr>
              <w:t>Les Etats mettent en place des taxes et aides financières afin d’influencer le comportement des offreurs et des demandeurs. Quels en sont les effets ? Est-ce toujours conforme à ce qui est attendu ?</w:t>
            </w:r>
          </w:p>
        </w:tc>
        <w:tc>
          <w:tcPr>
            <w:tcW w:w="3246" w:type="dxa"/>
            <w:tcBorders/>
            <w:vAlign w:val="center"/>
          </w:tcPr>
          <w:p>
            <w:pPr>
              <w:pStyle w:val="Normal"/>
              <w:tabs>
                <w:tab w:val="clear" w:pos="708"/>
                <w:tab w:val="left" w:pos="426" w:leader="none"/>
              </w:tabs>
              <w:jc w:val="center"/>
              <w:rPr>
                <w:b/>
                <w:highlight w:val="yellow"/>
              </w:rPr>
            </w:pPr>
            <w:r>
              <w:rPr/>
              <w:drawing>
                <wp:inline distT="0" distB="0" distL="0" distR="0">
                  <wp:extent cx="1919605" cy="1381125"/>
                  <wp:effectExtent l="0" t="0" r="0" b="0"/>
                  <wp:docPr id="1"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descr=""/>
                          <pic:cNvPicPr>
                            <a:picLocks noChangeAspect="1" noChangeArrowheads="1"/>
                          </pic:cNvPicPr>
                        </pic:nvPicPr>
                        <pic:blipFill>
                          <a:blip r:embed="rId2"/>
                          <a:srcRect l="54558" t="0" r="6491" b="20475"/>
                          <a:stretch>
                            <a:fillRect/>
                          </a:stretch>
                        </pic:blipFill>
                        <pic:spPr bwMode="auto">
                          <a:xfrm>
                            <a:off x="0" y="0"/>
                            <a:ext cx="1919605" cy="1381125"/>
                          </a:xfrm>
                          <a:prstGeom prst="rect">
                            <a:avLst/>
                          </a:prstGeom>
                          <a:noFill/>
                        </pic:spPr>
                      </pic:pic>
                    </a:graphicData>
                  </a:graphic>
                </wp:inline>
              </w:drawing>
            </w:r>
          </w:p>
        </w:tc>
      </w:tr>
    </w:tbl>
    <w:p>
      <w:pPr>
        <w:pStyle w:val="Normal"/>
        <w:rPr>
          <w:rFonts w:ascii="Century Gothic" w:hAnsi="Century Gothic"/>
          <w:b/>
          <w:sz w:val="24"/>
          <w:szCs w:val="24"/>
        </w:rPr>
      </w:pPr>
      <w:r>
        <w:rPr>
          <w:rFonts w:ascii="Century Gothic" w:hAnsi="Century Gothic"/>
          <w:b/>
          <w:sz w:val="24"/>
          <w:szCs w:val="24"/>
        </w:rPr>
      </w:r>
    </w:p>
    <w:p>
      <w:pPr>
        <w:pStyle w:val="Normal"/>
        <w:rPr>
          <w:sz w:val="24"/>
          <w:szCs w:val="24"/>
        </w:rPr>
      </w:pPr>
      <w:r>
        <w:rPr/>
        <w:drawing>
          <wp:inline distT="0" distB="0" distL="0" distR="0">
            <wp:extent cx="152400" cy="152400"/>
            <wp:effectExtent l="0" t="0" r="0" b="0"/>
            <wp:docPr id="2" name="Image 2" descr="doc-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oc-texte"/>
                    <pic:cNvPicPr>
                      <a:picLocks noChangeAspect="1" noChangeArrowheads="1"/>
                    </pic:cNvPicPr>
                  </pic:nvPicPr>
                  <pic:blipFill>
                    <a:blip r:embed="rId3"/>
                    <a:stretch>
                      <a:fillRect/>
                    </a:stretch>
                  </pic:blipFill>
                  <pic:spPr bwMode="auto">
                    <a:xfrm>
                      <a:off x="0" y="0"/>
                      <a:ext cx="152400" cy="152400"/>
                    </a:xfrm>
                    <a:prstGeom prst="rect">
                      <a:avLst/>
                    </a:prstGeom>
                    <a:noFill/>
                  </pic:spPr>
                </pic:pic>
              </a:graphicData>
            </a:graphic>
          </wp:inline>
        </w:drawing>
      </w:r>
      <w:r>
        <w:rPr>
          <w:rFonts w:ascii="Century Gothic" w:hAnsi="Century Gothic"/>
          <w:b/>
          <w:sz w:val="24"/>
          <w:szCs w:val="24"/>
        </w:rPr>
        <w:t xml:space="preserve"> </w:t>
      </w:r>
      <w:r>
        <w:rPr>
          <w:b/>
          <w:sz w:val="28"/>
          <w:szCs w:val="28"/>
        </w:rPr>
        <w:t>Document n°1|</w:t>
      </w:r>
      <w:r>
        <w:rPr>
          <w:sz w:val="28"/>
          <w:szCs w:val="28"/>
        </w:rPr>
        <w:t>La taxe soda</w:t>
      </w:r>
    </w:p>
    <w:p>
      <w:pPr>
        <w:sectPr>
          <w:type w:val="continuous"/>
          <w:pgSz w:w="11906" w:h="16838"/>
          <w:pgMar w:left="1134" w:right="1134" w:gutter="0" w:header="0" w:top="851" w:footer="0" w:bottom="426"/>
          <w:formProt w:val="false"/>
          <w:textDirection w:val="lrTb"/>
          <w:docGrid w:type="default" w:linePitch="600" w:charSpace="36864"/>
        </w:sectPr>
      </w:pPr>
    </w:p>
    <w:p>
      <w:pPr>
        <w:pStyle w:val="Normal"/>
        <w:jc w:val="both"/>
        <w:rPr>
          <w:bCs/>
          <w:sz w:val="12"/>
          <w:szCs w:val="12"/>
        </w:rPr>
      </w:pPr>
      <w:r>
        <w:rPr>
          <w:bCs/>
          <w:sz w:val="12"/>
          <w:szCs w:val="12"/>
        </w:rPr>
      </w:r>
    </w:p>
    <w:p>
      <w:pPr>
        <w:pStyle w:val="Normal"/>
        <w:jc w:val="both"/>
        <w:rPr>
          <w:bCs/>
        </w:rPr>
      </w:pPr>
      <w:r>
        <w:drawing>
          <wp:anchor behindDoc="0" distT="0" distB="0" distL="114300" distR="114300" simplePos="0" locked="0" layoutInCell="0" allowOverlap="1" relativeHeight="7">
            <wp:simplePos x="0" y="0"/>
            <wp:positionH relativeFrom="column">
              <wp:posOffset>1905</wp:posOffset>
            </wp:positionH>
            <wp:positionV relativeFrom="paragraph">
              <wp:posOffset>72390</wp:posOffset>
            </wp:positionV>
            <wp:extent cx="2367280" cy="1400175"/>
            <wp:effectExtent l="0" t="0" r="0" b="0"/>
            <wp:wrapSquare wrapText="bothSides"/>
            <wp:docPr id="3"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
                    <pic:cNvPicPr>
                      <a:picLocks noChangeAspect="1" noChangeArrowheads="1"/>
                    </pic:cNvPicPr>
                  </pic:nvPicPr>
                  <pic:blipFill>
                    <a:blip r:embed="rId4"/>
                    <a:srcRect l="0" t="19204" r="42885" b="19509"/>
                    <a:stretch>
                      <a:fillRect/>
                    </a:stretch>
                  </pic:blipFill>
                  <pic:spPr bwMode="auto">
                    <a:xfrm>
                      <a:off x="0" y="0"/>
                      <a:ext cx="2367280" cy="1400175"/>
                    </a:xfrm>
                    <a:prstGeom prst="rect">
                      <a:avLst/>
                    </a:prstGeom>
                    <a:noFill/>
                  </pic:spPr>
                </pic:pic>
              </a:graphicData>
            </a:graphic>
          </wp:anchor>
        </w:drawing>
      </w:r>
      <w:r>
        <w:rPr>
          <w:bCs/>
        </w:rPr>
        <w:t>Les boissons les plus sucrées seront, dès 2019, davantage taxées afin de mieux lutter contre le diabète et l'obésité. La taxation se déclenchera à partir de 1 gramme de sucre pour 100 ml et progressera jusqu'à une vingtaine d'euros par hectolitre pour un produit dépassant 11 grammes de sucres ajoutés pour 100 ml. En 2012 deux taxes ont été instaurées, une sur les boissons sucrées de 7,53 euros par hectolitre et une autre d'exactement le même montant sur les boissons édulcorées. Les consommateurs risquent pourtant fortement d'être directement impactés. « Aujourd'hui les marges sont très faibles sur nos produits qui sont très souvent des produits d'appel, explique Agathe Cury, directrice générale du Syndicat Boissons rafraîchissantes de France, alors cette nouvelle mouture de la taxe va rogner encore plus les marges et les industriels ne pourront pas absorber seuls cette augmentation ». Comprendre : les prix des sodas pourraient bien augmenter.</w:t>
      </w:r>
    </w:p>
    <w:p>
      <w:pPr>
        <w:pStyle w:val="Normal"/>
        <w:jc w:val="both"/>
        <w:rPr>
          <w:bCs/>
          <w:sz w:val="10"/>
          <w:szCs w:val="10"/>
        </w:rPr>
      </w:pPr>
      <w:r>
        <w:rPr>
          <w:bCs/>
          <w:sz w:val="10"/>
          <w:szCs w:val="10"/>
        </w:rPr>
      </w:r>
    </w:p>
    <w:p>
      <w:pPr>
        <w:pStyle w:val="Normal"/>
        <w:jc w:val="both"/>
        <w:rPr>
          <w:bCs/>
          <w:sz w:val="20"/>
          <w:szCs w:val="20"/>
        </w:rPr>
      </w:pPr>
      <w:r>
        <w:rPr>
          <w:bCs/>
          <w:sz w:val="20"/>
          <w:szCs w:val="20"/>
        </w:rPr>
        <w:t>* 100 litres</w:t>
      </w:r>
    </w:p>
    <w:p>
      <w:pPr>
        <w:pStyle w:val="Normal"/>
        <w:jc w:val="right"/>
        <w:rPr>
          <w:bCs/>
          <w:sz w:val="20"/>
          <w:szCs w:val="20"/>
        </w:rPr>
      </w:pPr>
      <w:r>
        <w:rPr>
          <w:bCs/>
          <w:sz w:val="20"/>
          <w:szCs w:val="20"/>
        </w:rPr>
        <w:t>D’après Antoine Garbay, « Conséquence d’une nouvelle taxe, le prix des sodas pourrait augmenter »,</w:t>
      </w:r>
    </w:p>
    <w:p>
      <w:pPr>
        <w:pStyle w:val="Normal"/>
        <w:jc w:val="right"/>
        <w:rPr>
          <w:bCs/>
          <w:sz w:val="20"/>
          <w:szCs w:val="20"/>
        </w:rPr>
      </w:pPr>
      <w:r>
        <w:rPr>
          <w:bCs/>
          <w:sz w:val="20"/>
          <w:szCs w:val="20"/>
        </w:rPr>
        <w:t xml:space="preserve"> </w:t>
      </w:r>
      <w:r>
        <w:rPr>
          <w:bCs/>
          <w:sz w:val="20"/>
          <w:szCs w:val="20"/>
        </w:rPr>
        <w:t>Le Figaro, octobre 2017.</w:t>
      </w:r>
    </w:p>
    <w:p>
      <w:pPr>
        <w:pStyle w:val="Normal"/>
        <w:rPr>
          <w:b/>
        </w:rPr>
      </w:pPr>
      <w:r>
        <w:rPr>
          <w:b/>
        </w:rPr>
        <w:t xml:space="preserve">Q1. </w:t>
      </w:r>
      <w:r>
        <w:rPr>
          <w:bCs/>
          <w:smallCaps/>
        </w:rPr>
        <w:t>Lire.</w:t>
      </w:r>
      <w:r>
        <w:rPr>
          <w:b/>
        </w:rPr>
        <w:t xml:space="preserve"> Quel est l’objectif de la taxe soda mise en place depuis 2012.</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jc w:val="both"/>
        <w:rPr>
          <w:b/>
        </w:rPr>
      </w:pPr>
      <w:r>
        <w:rPr>
          <w:b/>
        </w:rPr>
        <w:t xml:space="preserve">Q2. </w:t>
      </w:r>
      <w:r>
        <w:rPr>
          <w:bCs/>
          <w:smallCaps/>
        </w:rPr>
        <w:t>Déduire</w:t>
      </w:r>
      <w:r>
        <w:rPr>
          <w:b/>
        </w:rPr>
        <w:t>. Quels sont les deux types de réactions que les producteurs de boissons sucrées peuvent avoir suite à la hausse de cette taxe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b/>
          <w:sz w:val="20"/>
          <w:szCs w:val="20"/>
        </w:rPr>
      </w:pPr>
      <w:r>
        <w:rPr>
          <w:rFonts w:ascii="Century Gothic" w:hAnsi="Century Gothic"/>
        </w:rPr>
        <w:t>…………………………………………………………………………………………………………………</w:t>
      </w:r>
      <w:r>
        <w:rPr>
          <w:rFonts w:ascii="Century Gothic" w:hAnsi="Century Gothic"/>
        </w:rPr>
        <w:t>..</w:t>
      </w:r>
    </w:p>
    <w:p>
      <w:pPr>
        <w:pStyle w:val="Normal"/>
        <w:rPr>
          <w:b/>
        </w:rPr>
      </w:pPr>
      <w:bookmarkStart w:id="0" w:name="_Hlk31297437"/>
      <w:r>
        <w:rPr>
          <w:b/>
        </w:rPr>
        <w:t xml:space="preserve">Q3. </w:t>
      </w:r>
      <w:r>
        <w:rPr>
          <w:bCs/>
          <w:smallCaps/>
        </w:rPr>
        <w:t>expliquer.</w:t>
      </w:r>
      <w:r>
        <w:rPr>
          <w:b/>
        </w:rPr>
        <w:t xml:space="preserve"> D’après le modèle du marché concurrentiel, quel est l’effet de cette taxe sur l’équilibre du marché des boissons sucrées ? </w:t>
      </w:r>
    </w:p>
    <w:p>
      <w:pPr>
        <w:pStyle w:val="Normal"/>
        <w:rPr>
          <w:rFonts w:ascii="Century Gothic" w:hAnsi="Century Gothic"/>
          <w:sz w:val="4"/>
          <w:szCs w:val="4"/>
        </w:rPr>
      </w:pPr>
      <w:r>
        <w:rPr>
          <w:rFonts w:ascii="Century Gothic" w:hAnsi="Century Gothic"/>
          <w:sz w:val="4"/>
          <w:szCs w:val="4"/>
        </w:rPr>
      </w:r>
    </w:p>
    <w:p>
      <w:pPr>
        <w:pStyle w:val="Normal"/>
        <w:rPr>
          <w:rFonts w:ascii="Century Gothic" w:hAnsi="Century Gothic"/>
        </w:rPr>
      </w:pPr>
      <w:r>
        <w:drawing>
          <wp:anchor behindDoc="0" distT="0" distB="0" distL="114300" distR="114300" simplePos="0" locked="0" layoutInCell="0" allowOverlap="1" relativeHeight="3">
            <wp:simplePos x="0" y="0"/>
            <wp:positionH relativeFrom="column">
              <wp:posOffset>2880360</wp:posOffset>
            </wp:positionH>
            <wp:positionV relativeFrom="paragraph">
              <wp:posOffset>4445</wp:posOffset>
            </wp:positionV>
            <wp:extent cx="3267075" cy="2200275"/>
            <wp:effectExtent l="0" t="0" r="0" b="0"/>
            <wp:wrapSquare wrapText="bothSides"/>
            <wp:docPr id="4" name="Image 6" descr="Résultat de recherche d'images pour &quot;Equilibre du marché&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descr="Résultat de recherche d'images pour &quot;Equilibre du marché&quot;&quot;"/>
                    <pic:cNvPicPr>
                      <a:picLocks noChangeAspect="1" noChangeArrowheads="1"/>
                    </pic:cNvPicPr>
                  </pic:nvPicPr>
                  <pic:blipFill>
                    <a:blip r:embed="rId5"/>
                    <a:stretch>
                      <a:fillRect/>
                    </a:stretch>
                  </pic:blipFill>
                  <pic:spPr bwMode="auto">
                    <a:xfrm>
                      <a:off x="0" y="0"/>
                      <a:ext cx="3267075" cy="2200275"/>
                    </a:xfrm>
                    <a:prstGeom prst="rect">
                      <a:avLst/>
                    </a:prstGeom>
                    <a:noFill/>
                  </pic:spPr>
                </pic:pic>
              </a:graphicData>
            </a:graphic>
          </wp:anchor>
        </w:drawing>
      </w: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bookmarkEnd w:id="0"/>
    </w:p>
    <w:p>
      <w:pPr>
        <w:pStyle w:val="Normal"/>
        <w:jc w:val="both"/>
        <w:rPr>
          <w:rFonts w:ascii="Century Gothic" w:hAnsi="Century Gothic"/>
        </w:rPr>
      </w:pPr>
      <w:r>
        <w:rPr>
          <w:rFonts w:ascii="Century Gothic" w:hAnsi="Century Gothic"/>
        </w:rPr>
      </w:r>
    </w:p>
    <w:p>
      <w:pPr>
        <w:pStyle w:val="Normal"/>
        <w:rPr>
          <w:b/>
        </w:rPr>
      </w:pPr>
      <w:r>
        <w:rPr>
          <w:b/>
        </w:rPr>
      </w:r>
    </w:p>
    <w:p>
      <w:pPr>
        <w:pStyle w:val="Normal"/>
        <w:rPr>
          <w:sz w:val="28"/>
          <w:szCs w:val="28"/>
        </w:rPr>
      </w:pPr>
      <w:r>
        <w:rPr/>
        <w:drawing>
          <wp:inline distT="0" distB="0" distL="0" distR="0">
            <wp:extent cx="152400" cy="152400"/>
            <wp:effectExtent l="0" t="0" r="0" b="0"/>
            <wp:docPr id="5"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1" descr=""/>
                    <pic:cNvPicPr>
                      <a:picLocks noChangeAspect="1" noChangeArrowheads="1"/>
                    </pic:cNvPicPr>
                  </pic:nvPicPr>
                  <pic:blipFill>
                    <a:blip r:embed="rId6"/>
                    <a:stretch>
                      <a:fillRect/>
                    </a:stretch>
                  </pic:blipFill>
                  <pic:spPr bwMode="auto">
                    <a:xfrm>
                      <a:off x="0" y="0"/>
                      <a:ext cx="152400" cy="152400"/>
                    </a:xfrm>
                    <a:prstGeom prst="rect">
                      <a:avLst/>
                    </a:prstGeom>
                    <a:noFill/>
                  </pic:spPr>
                </pic:pic>
              </a:graphicData>
            </a:graphic>
          </wp:inline>
        </w:drawing>
      </w:r>
      <w:r>
        <w:rPr>
          <w:rFonts w:ascii="Century Gothic" w:hAnsi="Century Gothic"/>
          <w:b/>
          <w:sz w:val="24"/>
          <w:szCs w:val="24"/>
        </w:rPr>
        <w:t xml:space="preserve"> </w:t>
      </w:r>
      <w:r>
        <w:rPr>
          <w:b/>
          <w:sz w:val="28"/>
          <w:szCs w:val="28"/>
        </w:rPr>
        <w:t>Document n°2|</w:t>
      </w:r>
      <w:r>
        <w:rPr>
          <w:sz w:val="28"/>
          <w:szCs w:val="28"/>
        </w:rPr>
        <w:t>La taxe soda : la ruse de Coca-Cola</w:t>
      </w:r>
    </w:p>
    <w:p>
      <w:pPr>
        <w:pStyle w:val="Normal"/>
        <w:rPr>
          <w:sz w:val="12"/>
          <w:szCs w:val="12"/>
        </w:rPr>
      </w:pPr>
      <w:r>
        <w:rPr>
          <w:sz w:val="12"/>
          <w:szCs w:val="12"/>
        </w:rPr>
      </w:r>
    </w:p>
    <w:p>
      <w:pPr>
        <w:sectPr>
          <w:type w:val="continuous"/>
          <w:pgSz w:w="11906" w:h="16838"/>
          <w:pgMar w:left="1134" w:right="1134" w:gutter="0" w:header="0" w:top="851" w:footer="0" w:bottom="426"/>
          <w:formProt w:val="false"/>
          <w:textDirection w:val="lrTb"/>
          <w:docGrid w:type="default" w:linePitch="600" w:charSpace="36864"/>
        </w:sectPr>
      </w:pPr>
    </w:p>
    <w:p>
      <w:pPr>
        <w:pStyle w:val="Normal"/>
        <w:ind w:right="-568"/>
        <w:rPr>
          <w:b/>
        </w:rPr>
      </w:pPr>
      <w:r>
        <w:drawing>
          <wp:anchor behindDoc="0" distT="0" distB="0" distL="114300" distR="114300" simplePos="0" locked="0" layoutInCell="0" allowOverlap="1" relativeHeight="8">
            <wp:simplePos x="0" y="0"/>
            <wp:positionH relativeFrom="column">
              <wp:posOffset>22860</wp:posOffset>
            </wp:positionH>
            <wp:positionV relativeFrom="paragraph">
              <wp:posOffset>19050</wp:posOffset>
            </wp:positionV>
            <wp:extent cx="2114550" cy="1650365"/>
            <wp:effectExtent l="0" t="0" r="0" b="0"/>
            <wp:wrapSquare wrapText="bothSides"/>
            <wp:docPr id="6"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
                    <pic:cNvPicPr>
                      <a:picLocks noChangeAspect="1" noChangeArrowheads="1"/>
                    </pic:cNvPicPr>
                  </pic:nvPicPr>
                  <pic:blipFill>
                    <a:blip r:embed="rId7"/>
                    <a:srcRect l="48608" t="46537" r="39215" b="36567"/>
                    <a:stretch>
                      <a:fillRect/>
                    </a:stretch>
                  </pic:blipFill>
                  <pic:spPr bwMode="auto">
                    <a:xfrm>
                      <a:off x="0" y="0"/>
                      <a:ext cx="2114550" cy="1650365"/>
                    </a:xfrm>
                    <a:prstGeom prst="rect">
                      <a:avLst/>
                    </a:prstGeom>
                    <a:noFill/>
                    <a:ln w="9525">
                      <a:solidFill>
                        <a:srgbClr val="000000"/>
                      </a:solidFill>
                    </a:ln>
                  </pic:spPr>
                </pic:pic>
              </a:graphicData>
            </a:graphic>
          </wp:anchor>
        </w:drawing>
      </w:r>
      <w:r>
        <w:rPr>
          <w:b/>
        </w:rPr>
        <w:t xml:space="preserve">Q4. </w:t>
      </w:r>
      <w:r>
        <w:rPr>
          <w:bCs/>
          <w:smallCaps/>
        </w:rPr>
        <w:t>Comprendre.</w:t>
      </w:r>
      <w:r>
        <w:rPr>
          <w:b/>
        </w:rPr>
        <w:t xml:space="preserve"> Quel a été la réaction de Coca-Cola face à cette taxe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ind w:right="-568"/>
        <w:jc w:val="both"/>
        <w:rPr>
          <w:b/>
        </w:rPr>
      </w:pPr>
      <w:r>
        <w:rPr>
          <w:b/>
        </w:rPr>
        <w:t xml:space="preserve">Q5. </w:t>
      </w:r>
      <w:r>
        <w:rPr>
          <w:bCs/>
          <w:smallCaps/>
        </w:rPr>
        <w:t>Calculer.</w:t>
      </w:r>
      <w:r>
        <w:rPr>
          <w:b/>
        </w:rPr>
        <w:t xml:space="preserve"> Quel est le prix au litre avant la mise en place de la taxe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ind w:right="-1"/>
        <w:jc w:val="both"/>
        <w:rPr>
          <w:b/>
        </w:rPr>
      </w:pPr>
      <w:r>
        <w:rPr>
          <w:b/>
        </w:rPr>
        <w:t xml:space="preserve">Q6. </w:t>
      </w:r>
      <w:r>
        <w:rPr>
          <w:bCs/>
          <w:smallCaps/>
        </w:rPr>
        <w:t>Calculer.</w:t>
      </w:r>
      <w:r>
        <w:rPr>
          <w:b/>
        </w:rPr>
        <w:t xml:space="preserve">  Avec une taxe de 20€ par hectolitre, quelle aurait dû être le nouveau prix au litre de cette bouteille ? A quel pourcentage d’augmentation cela correspond-il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ind w:right="-1"/>
        <w:jc w:val="both"/>
        <w:rPr>
          <w:b/>
        </w:rPr>
      </w:pPr>
      <w:r>
        <w:rPr>
          <w:b/>
        </w:rPr>
        <w:t xml:space="preserve">Q7. </w:t>
      </w:r>
      <w:r>
        <w:rPr>
          <w:bCs/>
          <w:smallCaps/>
        </w:rPr>
        <w:t>Calculer.</w:t>
      </w:r>
      <w:r>
        <w:rPr>
          <w:b/>
        </w:rPr>
        <w:t xml:space="preserve"> Quel est en réalité le prix au litre après la mise en place de la taxe ? A quel pourcentage d’augmentation cela correspond-il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ind w:right="-1"/>
        <w:jc w:val="both"/>
        <w:rPr>
          <w:b/>
        </w:rPr>
      </w:pPr>
      <w:r>
        <w:rPr>
          <w:b/>
        </w:rPr>
        <w:t xml:space="preserve">Q8. </w:t>
      </w:r>
      <w:r>
        <w:rPr>
          <w:bCs/>
          <w:smallCaps/>
        </w:rPr>
        <w:t>Conclure</w:t>
      </w:r>
      <w:r>
        <w:rPr>
          <w:bCs/>
        </w:rPr>
        <w:t xml:space="preserve">. </w:t>
      </w:r>
      <w:r>
        <w:rPr>
          <w:b/>
        </w:rPr>
        <w:t>Le comportement de Coca-Cola est-il conforme aux attentes du législateur ? Au final, comment jugez-vous l’efficacité de cette taxe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ind w:right="-285"/>
        <w:jc w:val="both"/>
        <w:rPr>
          <w:b/>
        </w:rPr>
      </w:pPr>
      <w:r>
        <w:rPr>
          <w:b/>
        </w:rPr>
      </w:r>
    </w:p>
    <w:p>
      <w:pPr>
        <w:pStyle w:val="Normal"/>
        <w:rPr>
          <w:sz w:val="28"/>
          <w:szCs w:val="28"/>
        </w:rPr>
      </w:pPr>
      <w:r>
        <w:rPr/>
        <w:drawing>
          <wp:inline distT="0" distB="0" distL="0" distR="0">
            <wp:extent cx="152400" cy="152400"/>
            <wp:effectExtent l="0" t="0" r="0" b="0"/>
            <wp:docPr id="7" name="Image 10" descr="doc-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0" descr="doc-texte"/>
                    <pic:cNvPicPr>
                      <a:picLocks noChangeAspect="1" noChangeArrowheads="1"/>
                    </pic:cNvPicPr>
                  </pic:nvPicPr>
                  <pic:blipFill>
                    <a:blip r:embed="rId8"/>
                    <a:stretch>
                      <a:fillRect/>
                    </a:stretch>
                  </pic:blipFill>
                  <pic:spPr bwMode="auto">
                    <a:xfrm>
                      <a:off x="0" y="0"/>
                      <a:ext cx="152400" cy="152400"/>
                    </a:xfrm>
                    <a:prstGeom prst="rect">
                      <a:avLst/>
                    </a:prstGeom>
                    <a:noFill/>
                  </pic:spPr>
                </pic:pic>
              </a:graphicData>
            </a:graphic>
          </wp:inline>
        </w:drawing>
      </w:r>
      <w:r>
        <w:rPr>
          <w:rFonts w:ascii="Century Gothic" w:hAnsi="Century Gothic"/>
          <w:b/>
          <w:sz w:val="24"/>
          <w:szCs w:val="24"/>
        </w:rPr>
        <w:t xml:space="preserve"> </w:t>
      </w:r>
      <w:r>
        <w:rPr>
          <w:b/>
          <w:sz w:val="28"/>
          <w:szCs w:val="28"/>
        </w:rPr>
        <w:t>Document n°3|</w:t>
      </w:r>
      <w:r>
        <w:rPr>
          <w:sz w:val="28"/>
          <w:szCs w:val="28"/>
        </w:rPr>
        <w:t>La prime à l’achat d’un VAE</w:t>
      </w:r>
    </w:p>
    <w:p>
      <w:pPr>
        <w:pStyle w:val="Normal"/>
        <w:ind w:right="-285"/>
        <w:jc w:val="both"/>
        <w:rPr>
          <w:b/>
        </w:rPr>
      </w:pPr>
      <w:r>
        <w:drawing>
          <wp:anchor behindDoc="0" distT="0" distB="0" distL="114300" distR="114300" simplePos="0" locked="0" layoutInCell="0" allowOverlap="1" relativeHeight="10">
            <wp:simplePos x="0" y="0"/>
            <wp:positionH relativeFrom="column">
              <wp:posOffset>22860</wp:posOffset>
            </wp:positionH>
            <wp:positionV relativeFrom="paragraph">
              <wp:posOffset>81280</wp:posOffset>
            </wp:positionV>
            <wp:extent cx="3752850" cy="1884680"/>
            <wp:effectExtent l="0" t="0" r="0" b="0"/>
            <wp:wrapSquare wrapText="bothSides"/>
            <wp:docPr id="8" name="Image 12" descr="Prime à l'achat de 500 euros pour l'achat d'un vélo à assistance électrique au premier décemb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2" descr="Prime à l'achat de 500 euros pour l'achat d'un vélo à assistance électrique au premier décembre 2019"/>
                    <pic:cNvPicPr>
                      <a:picLocks noChangeAspect="1" noChangeArrowheads="1"/>
                    </pic:cNvPicPr>
                  </pic:nvPicPr>
                  <pic:blipFill>
                    <a:blip r:embed="rId9"/>
                    <a:srcRect l="26606" t="23789" r="2266" b="4788"/>
                    <a:stretch>
                      <a:fillRect/>
                    </a:stretch>
                  </pic:blipFill>
                  <pic:spPr bwMode="auto">
                    <a:xfrm>
                      <a:off x="0" y="0"/>
                      <a:ext cx="3752850" cy="1884680"/>
                    </a:xfrm>
                    <a:prstGeom prst="rect">
                      <a:avLst/>
                    </a:prstGeom>
                    <a:noFill/>
                  </pic:spPr>
                </pic:pic>
              </a:graphicData>
            </a:graphic>
          </wp:anchor>
        </w:drawing>
      </w:r>
      <w:r>
        <w:rPr>
          <w:b/>
        </w:rPr>
        <w:t xml:space="preserve">Q9. </w:t>
      </w:r>
      <w:r>
        <w:rPr>
          <w:bCs/>
          <w:smallCaps/>
        </w:rPr>
        <w:t>Déduire.</w:t>
      </w:r>
      <w:r>
        <w:rPr>
          <w:b/>
        </w:rPr>
        <w:t xml:space="preserve"> En quoi consiste la prime à l’achat d’un VAE ? Quel est son objectif ? Qui la finance ?</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6"/>
          <w:szCs w:val="6"/>
        </w:rPr>
      </w:pPr>
      <w:r>
        <w:rPr>
          <w:rFonts w:ascii="Century Gothic" w:hAnsi="Century Gothic"/>
          <w:sz w:val="6"/>
          <w:szCs w:val="6"/>
        </w:rPr>
      </w:r>
    </w:p>
    <w:p>
      <w:pPr>
        <w:pStyle w:val="Normal"/>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rPr>
          <w:b/>
        </w:rPr>
      </w:pPr>
      <w:r>
        <w:rPr>
          <w:b/>
        </w:rPr>
        <w:t>Q10</w:t>
      </w:r>
      <w:bookmarkStart w:id="1" w:name="_GoBack"/>
      <w:bookmarkEnd w:id="1"/>
      <w:r>
        <w:rPr>
          <w:b/>
        </w:rPr>
        <w:t xml:space="preserve">. </w:t>
      </w:r>
      <w:r>
        <w:rPr>
          <w:bCs/>
          <w:smallCaps/>
        </w:rPr>
        <w:t>expliquer.</w:t>
      </w:r>
      <w:r>
        <w:rPr>
          <w:b/>
        </w:rPr>
        <w:t xml:space="preserve"> D’après le modèle du marché concurrentiel, quel est l’effet de cette aide sur l’équilibre du marché des VAE ? </w:t>
      </w:r>
    </w:p>
    <w:p>
      <w:pPr>
        <w:pStyle w:val="Normal"/>
        <w:rPr>
          <w:rFonts w:ascii="Century Gothic" w:hAnsi="Century Gothic"/>
          <w:sz w:val="4"/>
          <w:szCs w:val="4"/>
        </w:rPr>
      </w:pPr>
      <w:r>
        <w:rPr>
          <w:rFonts w:ascii="Century Gothic" w:hAnsi="Century Gothic"/>
          <w:sz w:val="4"/>
          <w:szCs w:val="4"/>
        </w:rPr>
      </w:r>
    </w:p>
    <w:p>
      <w:pPr>
        <w:pStyle w:val="Normal"/>
        <w:rPr>
          <w:rFonts w:ascii="Century Gothic" w:hAnsi="Century Gothic"/>
        </w:rPr>
      </w:pPr>
      <w:r>
        <w:drawing>
          <wp:anchor behindDoc="0" distT="0" distB="0" distL="114300" distR="114300" simplePos="0" locked="0" layoutInCell="0" allowOverlap="1" relativeHeight="9">
            <wp:simplePos x="0" y="0"/>
            <wp:positionH relativeFrom="column">
              <wp:posOffset>2880360</wp:posOffset>
            </wp:positionH>
            <wp:positionV relativeFrom="paragraph">
              <wp:posOffset>4445</wp:posOffset>
            </wp:positionV>
            <wp:extent cx="3267075" cy="2200275"/>
            <wp:effectExtent l="0" t="0" r="0" b="0"/>
            <wp:wrapSquare wrapText="bothSides"/>
            <wp:docPr id="9" name="Image 13" descr="Résultat de recherche d'images pour &quot;Equilibre du marché&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3" descr="Résultat de recherche d'images pour &quot;Equilibre du marché&quot;&quot;"/>
                    <pic:cNvPicPr>
                      <a:picLocks noChangeAspect="1" noChangeArrowheads="1"/>
                    </pic:cNvPicPr>
                  </pic:nvPicPr>
                  <pic:blipFill>
                    <a:blip r:embed="rId10"/>
                    <a:stretch>
                      <a:fillRect/>
                    </a:stretch>
                  </pic:blipFill>
                  <pic:spPr bwMode="auto">
                    <a:xfrm>
                      <a:off x="0" y="0"/>
                      <a:ext cx="3267075" cy="2200275"/>
                    </a:xfrm>
                    <a:prstGeom prst="rect">
                      <a:avLst/>
                    </a:prstGeom>
                    <a:noFill/>
                  </pic:spPr>
                </pic:pic>
              </a:graphicData>
            </a:graphic>
          </wp:anchor>
        </w:drawing>
      </w: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rPr>
          <w:rFonts w:ascii="Century Gothic" w:hAnsi="Century Gothic"/>
          <w:sz w:val="4"/>
          <w:szCs w:val="4"/>
        </w:rPr>
      </w:pPr>
      <w:r>
        <w:rPr>
          <w:rFonts w:ascii="Century Gothic" w:hAnsi="Century Gothic"/>
          <w:sz w:val="4"/>
          <w:szCs w:val="4"/>
        </w:rPr>
      </w:r>
    </w:p>
    <w:p>
      <w:pPr>
        <w:pStyle w:val="Normal"/>
        <w:jc w:val="both"/>
        <w:rPr>
          <w:rFonts w:ascii="Century Gothic" w:hAnsi="Century Gothic"/>
        </w:rPr>
      </w:pPr>
      <w:r>
        <w:rPr>
          <w:rFonts w:ascii="Century Gothic" w:hAnsi="Century Gothic"/>
        </w:rPr>
        <w:t>…………………………………………………</w:t>
      </w:r>
      <w:r>
        <w:rPr>
          <w:rFonts w:ascii="Century Gothic" w:hAnsi="Century Gothic"/>
        </w:rPr>
        <w:t>.</w:t>
      </w:r>
    </w:p>
    <w:p>
      <w:pPr>
        <w:pStyle w:val="Normal"/>
        <w:jc w:val="center"/>
        <w:rPr>
          <w:sz w:val="2"/>
          <w:szCs w:val="2"/>
        </w:rPr>
      </w:pPr>
      <w:r>
        <w:rPr>
          <w:sz w:val="2"/>
          <w:szCs w:val="2"/>
        </w:rPr>
      </w:r>
    </w:p>
    <w:sectPr>
      <w:type w:val="continuous"/>
      <w:pgSz w:w="11906" w:h="16838"/>
      <w:pgMar w:left="1134" w:right="1134" w:gutter="0" w:header="0" w:top="851" w:footer="0" w:bottom="426"/>
      <w:formProt w:val="false"/>
      <w:textDirection w:val="lrTb"/>
      <w:docGrid w:type="default" w:linePitch="600" w:charSpace="3686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Cambria">
    <w:charset w:val="00"/>
    <w:family w:val="roman"/>
    <w:pitch w:val="variable"/>
  </w:font>
  <w:font w:name="Tahoma">
    <w:charset w:val="00"/>
    <w:family w:val="swiss"/>
    <w:pitch w:val="variable"/>
  </w:font>
  <w:font w:name="Liberation Sans">
    <w:altName w:val="Arial"/>
    <w:charset w:val="00"/>
    <w:family w:val="swiss"/>
    <w:pitch w:val="variable"/>
  </w:font>
  <w:font w:name="Century Gothic">
    <w:charset w:val="00"/>
    <w:family w:val="swiss"/>
    <w:pitch w:val="variable"/>
  </w:font>
  <w:font w:name="Lucida Handwriting">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rPr>
        <w:sz w:val="32"/>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b1bab"/>
    <w:pPr>
      <w:widowControl/>
      <w:suppressAutoHyphens w:val="false"/>
      <w:bidi w:val="0"/>
      <w:spacing w:before="0" w:after="0"/>
      <w:jc w:val="left"/>
    </w:pPr>
    <w:rPr>
      <w:rFonts w:ascii="Calibri" w:hAnsi="Calibri" w:eastAsia="Calibri" w:cs="Times New Roman"/>
      <w:color w:val="auto"/>
      <w:kern w:val="0"/>
      <w:sz w:val="22"/>
      <w:szCs w:val="22"/>
      <w:lang w:eastAsia="en-US" w:val="fr-FR" w:bidi="ar-SA"/>
    </w:rPr>
  </w:style>
  <w:style w:type="paragraph" w:styleId="Heading1">
    <w:name w:val="heading 1"/>
    <w:basedOn w:val="Normal"/>
    <w:link w:val="Titre1Car"/>
    <w:uiPriority w:val="9"/>
    <w:qFormat/>
    <w:rsid w:val="004c2ad0"/>
    <w:pPr>
      <w:spacing w:beforeAutospacing="1" w:afterAutospacing="1"/>
      <w:outlineLvl w:val="0"/>
    </w:pPr>
    <w:rPr>
      <w:rFonts w:ascii="Times New Roman" w:hAnsi="Times New Roman" w:eastAsia="Times New Roman"/>
      <w:b/>
      <w:bCs/>
      <w:kern w:val="2"/>
      <w:sz w:val="48"/>
      <w:szCs w:val="48"/>
      <w:lang w:eastAsia="fr-FR"/>
    </w:rPr>
  </w:style>
  <w:style w:type="paragraph" w:styleId="Heading2">
    <w:name w:val="heading 2"/>
    <w:basedOn w:val="Normal"/>
    <w:next w:val="Normal"/>
    <w:link w:val="Titre2Car"/>
    <w:uiPriority w:val="9"/>
    <w:qFormat/>
    <w:rsid w:val="003d31a5"/>
    <w:pPr>
      <w:keepNext w:val="true"/>
      <w:spacing w:before="240" w:after="60"/>
      <w:outlineLvl w:val="1"/>
    </w:pPr>
    <w:rPr>
      <w:rFonts w:ascii="Cambria" w:hAnsi="Cambria" w:eastAsia="Times New Roman"/>
      <w:b/>
      <w:bCs/>
      <w:i/>
      <w:iCs/>
      <w:sz w:val="28"/>
      <w:szCs w:val="28"/>
    </w:rPr>
  </w:style>
  <w:style w:type="paragraph" w:styleId="Heading3">
    <w:name w:val="heading 3"/>
    <w:basedOn w:val="Normal"/>
    <w:next w:val="Normal"/>
    <w:link w:val="Titre3Car"/>
    <w:uiPriority w:val="9"/>
    <w:qFormat/>
    <w:rsid w:val="00431522"/>
    <w:pPr>
      <w:keepNext w:val="true"/>
      <w:spacing w:before="240" w:after="60"/>
      <w:outlineLvl w:val="2"/>
    </w:pPr>
    <w:rPr>
      <w:rFonts w:ascii="Cambria" w:hAnsi="Cambria" w:eastAsia="Times New Roman"/>
      <w:b/>
      <w:bCs/>
      <w:sz w:val="26"/>
      <w:szCs w:val="26"/>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uiPriority w:val="99"/>
    <w:qFormat/>
    <w:rsid w:val="00fa7850"/>
    <w:rPr>
      <w:sz w:val="22"/>
      <w:szCs w:val="22"/>
      <w:lang w:eastAsia="en-US"/>
    </w:rPr>
  </w:style>
  <w:style w:type="character" w:styleId="PieddepageCar" w:customStyle="1">
    <w:name w:val="Pied de page Car"/>
    <w:basedOn w:val="DefaultParagraphFont"/>
    <w:uiPriority w:val="99"/>
    <w:qFormat/>
    <w:rsid w:val="00fa7850"/>
    <w:rPr>
      <w:sz w:val="22"/>
      <w:szCs w:val="22"/>
      <w:lang w:eastAsia="en-US"/>
    </w:rPr>
  </w:style>
  <w:style w:type="character" w:styleId="TextedebullesCar" w:customStyle="1">
    <w:name w:val="Texte de bulles Car"/>
    <w:basedOn w:val="DefaultParagraphFont"/>
    <w:link w:val="BalloonText"/>
    <w:uiPriority w:val="99"/>
    <w:semiHidden/>
    <w:qFormat/>
    <w:rsid w:val="005d33b6"/>
    <w:rPr>
      <w:rFonts w:ascii="Tahoma" w:hAnsi="Tahoma" w:cs="Tahoma"/>
      <w:sz w:val="16"/>
      <w:szCs w:val="16"/>
      <w:lang w:eastAsia="en-US"/>
    </w:rPr>
  </w:style>
  <w:style w:type="character" w:styleId="CorpsdetexteCar" w:customStyle="1">
    <w:name w:val="Corps de texte Car"/>
    <w:basedOn w:val="DefaultParagraphFont"/>
    <w:semiHidden/>
    <w:qFormat/>
    <w:rsid w:val="00542b3d"/>
    <w:rPr>
      <w:rFonts w:ascii="Times New Roman" w:hAnsi="Times New Roman" w:eastAsia="Times New Roman"/>
      <w:sz w:val="24"/>
      <w:szCs w:val="24"/>
    </w:rPr>
  </w:style>
  <w:style w:type="character" w:styleId="itemtitle" w:customStyle="1">
    <w:name w:val="itemtitle"/>
    <w:basedOn w:val="DefaultParagraphFont"/>
    <w:qFormat/>
    <w:rsid w:val="00ad5d9e"/>
    <w:rPr/>
  </w:style>
  <w:style w:type="character" w:styleId="Hyperlink">
    <w:name w:val="Hyperlink"/>
    <w:basedOn w:val="DefaultParagraphFont"/>
    <w:uiPriority w:val="99"/>
    <w:unhideWhenUsed/>
    <w:rsid w:val="00ad5d9e"/>
    <w:rPr>
      <w:color w:val="0000FF"/>
      <w:u w:val="single"/>
    </w:rPr>
  </w:style>
  <w:style w:type="character" w:styleId="Sous-titreCar" w:customStyle="1">
    <w:name w:val="Sous-titre Car"/>
    <w:basedOn w:val="DefaultParagraphFont"/>
    <w:qFormat/>
    <w:rsid w:val="000550f1"/>
    <w:rPr>
      <w:rFonts w:ascii="Arial" w:hAnsi="Arial" w:eastAsia="Times New Roman" w:cs="Arial"/>
      <w:b/>
      <w:bCs/>
      <w:sz w:val="22"/>
      <w:szCs w:val="24"/>
    </w:rPr>
  </w:style>
  <w:style w:type="character" w:styleId="citecrochet" w:customStyle="1">
    <w:name w:val="cite_crochet"/>
    <w:basedOn w:val="DefaultParagraphFont"/>
    <w:qFormat/>
    <w:rsid w:val="00d645fc"/>
    <w:rPr/>
  </w:style>
  <w:style w:type="character" w:styleId="Titre1Car" w:customStyle="1">
    <w:name w:val="Titre 1 Car"/>
    <w:basedOn w:val="DefaultParagraphFont"/>
    <w:uiPriority w:val="9"/>
    <w:qFormat/>
    <w:rsid w:val="004c2ad0"/>
    <w:rPr>
      <w:rFonts w:ascii="Times New Roman" w:hAnsi="Times New Roman" w:eastAsia="Times New Roman"/>
      <w:b/>
      <w:bCs/>
      <w:kern w:val="2"/>
      <w:sz w:val="48"/>
      <w:szCs w:val="48"/>
    </w:rPr>
  </w:style>
  <w:style w:type="character" w:styleId="Strong">
    <w:name w:val="Strong"/>
    <w:basedOn w:val="DefaultParagraphFont"/>
    <w:uiPriority w:val="22"/>
    <w:qFormat/>
    <w:rsid w:val="005206b9"/>
    <w:rPr>
      <w:b/>
      <w:bCs/>
    </w:rPr>
  </w:style>
  <w:style w:type="character" w:styleId="credit" w:customStyle="1">
    <w:name w:val="credit"/>
    <w:basedOn w:val="DefaultParagraphFont"/>
    <w:qFormat/>
    <w:rsid w:val="005206b9"/>
    <w:rPr/>
  </w:style>
  <w:style w:type="character" w:styleId="Corpsdetexte2Car" w:customStyle="1">
    <w:name w:val="Corps de texte 2 Car"/>
    <w:basedOn w:val="DefaultParagraphFont"/>
    <w:link w:val="BodyText2"/>
    <w:uiPriority w:val="99"/>
    <w:semiHidden/>
    <w:qFormat/>
    <w:rsid w:val="00553d99"/>
    <w:rPr>
      <w:sz w:val="22"/>
      <w:szCs w:val="22"/>
      <w:lang w:eastAsia="en-US"/>
    </w:rPr>
  </w:style>
  <w:style w:type="character" w:styleId="Titre3Car" w:customStyle="1">
    <w:name w:val="Titre 3 Car"/>
    <w:basedOn w:val="DefaultParagraphFont"/>
    <w:uiPriority w:val="9"/>
    <w:semiHidden/>
    <w:qFormat/>
    <w:rsid w:val="00431522"/>
    <w:rPr>
      <w:rFonts w:ascii="Cambria" w:hAnsi="Cambria" w:eastAsia="Times New Roman" w:cs="Times New Roman"/>
      <w:b/>
      <w:bCs/>
      <w:sz w:val="26"/>
      <w:szCs w:val="26"/>
      <w:lang w:eastAsia="en-US"/>
    </w:rPr>
  </w:style>
  <w:style w:type="character" w:styleId="Titre2Car" w:customStyle="1">
    <w:name w:val="Titre 2 Car"/>
    <w:basedOn w:val="DefaultParagraphFont"/>
    <w:uiPriority w:val="9"/>
    <w:qFormat/>
    <w:rsid w:val="003d31a5"/>
    <w:rPr>
      <w:rFonts w:ascii="Cambria" w:hAnsi="Cambria" w:eastAsia="Times New Roman" w:cs="Times New Roman"/>
      <w:b/>
      <w:bCs/>
      <w:i/>
      <w:iCs/>
      <w:sz w:val="28"/>
      <w:szCs w:val="28"/>
      <w:lang w:eastAsia="en-US"/>
    </w:rPr>
  </w:style>
  <w:style w:type="character" w:styleId="Emphasis">
    <w:name w:val="Emphasis"/>
    <w:basedOn w:val="DefaultParagraphFont"/>
    <w:qFormat/>
    <w:rsid w:val="00097c05"/>
    <w:rPr>
      <w:i/>
      <w:iCs/>
    </w:rPr>
  </w:style>
  <w:style w:type="character" w:styleId="TitreCar" w:customStyle="1">
    <w:name w:val="Titre Car"/>
    <w:basedOn w:val="DefaultParagraphFont"/>
    <w:qFormat/>
    <w:rsid w:val="00097c05"/>
    <w:rPr>
      <w:rFonts w:ascii="Arial" w:hAnsi="Arial" w:eastAsia="Times New Roman" w:cs="Arial"/>
      <w:b/>
      <w:bCs/>
      <w:sz w:val="24"/>
      <w:szCs w:val="24"/>
    </w:rPr>
  </w:style>
  <w:style w:type="paragraph" w:styleId="Titre">
    <w:name w:val="Titre"/>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sdetexteCar"/>
    <w:semiHidden/>
    <w:rsid w:val="00542b3d"/>
    <w:pPr>
      <w:jc w:val="both"/>
    </w:pPr>
    <w:rPr>
      <w:rFonts w:ascii="Times New Roman" w:hAnsi="Times New Roman" w:eastAsia="Times New Roman"/>
      <w:sz w:val="24"/>
      <w:szCs w:val="24"/>
      <w:lang w:eastAsia="fr-F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fa7850"/>
    <w:pPr>
      <w:tabs>
        <w:tab w:val="clear" w:pos="708"/>
        <w:tab w:val="center" w:pos="4536" w:leader="none"/>
        <w:tab w:val="right" w:pos="9072" w:leader="none"/>
      </w:tabs>
    </w:pPr>
    <w:rPr/>
  </w:style>
  <w:style w:type="paragraph" w:styleId="Footer">
    <w:name w:val="footer"/>
    <w:basedOn w:val="Normal"/>
    <w:link w:val="PieddepageCar"/>
    <w:uiPriority w:val="99"/>
    <w:unhideWhenUsed/>
    <w:rsid w:val="00fa7850"/>
    <w:pPr>
      <w:tabs>
        <w:tab w:val="clear" w:pos="708"/>
        <w:tab w:val="center" w:pos="4536" w:leader="none"/>
        <w:tab w:val="right" w:pos="9072" w:leader="none"/>
      </w:tabs>
    </w:pPr>
    <w:rPr/>
  </w:style>
  <w:style w:type="paragraph" w:styleId="ListParagraph">
    <w:name w:val="List Paragraph"/>
    <w:basedOn w:val="Normal"/>
    <w:uiPriority w:val="34"/>
    <w:qFormat/>
    <w:rsid w:val="00084a9c"/>
    <w:pPr>
      <w:ind w:left="708"/>
    </w:pPr>
    <w:rPr/>
  </w:style>
  <w:style w:type="paragraph" w:styleId="BalloonText">
    <w:name w:val="Balloon Text"/>
    <w:basedOn w:val="Normal"/>
    <w:link w:val="TextedebullesCar"/>
    <w:uiPriority w:val="99"/>
    <w:semiHidden/>
    <w:unhideWhenUsed/>
    <w:qFormat/>
    <w:rsid w:val="005d33b6"/>
    <w:pPr/>
    <w:rPr>
      <w:rFonts w:ascii="Tahoma" w:hAnsi="Tahoma" w:cs="Tahoma"/>
      <w:sz w:val="16"/>
      <w:szCs w:val="16"/>
    </w:rPr>
  </w:style>
  <w:style w:type="paragraph" w:styleId="Subtitle">
    <w:name w:val="Subtitle"/>
    <w:basedOn w:val="Normal"/>
    <w:link w:val="Sous-titreCar"/>
    <w:qFormat/>
    <w:rsid w:val="000550f1"/>
    <w:pPr>
      <w:numPr>
        <w:ilvl w:val="0"/>
        <w:numId w:val="1"/>
      </w:numPr>
      <w:tabs>
        <w:tab w:val="clear" w:pos="708"/>
        <w:tab w:val="left" w:pos="180" w:leader="none"/>
      </w:tabs>
      <w:ind w:hanging="180" w:left="180"/>
    </w:pPr>
    <w:rPr>
      <w:rFonts w:ascii="Arial" w:hAnsi="Arial" w:eastAsia="Times New Roman" w:cs="Arial"/>
      <w:b/>
      <w:bCs/>
      <w:szCs w:val="24"/>
      <w:lang w:eastAsia="fr-FR"/>
    </w:rPr>
  </w:style>
  <w:style w:type="paragraph" w:styleId="BodyText2">
    <w:name w:val="Body Text 2"/>
    <w:basedOn w:val="Normal"/>
    <w:link w:val="Corpsdetexte2Car"/>
    <w:uiPriority w:val="99"/>
    <w:semiHidden/>
    <w:unhideWhenUsed/>
    <w:qFormat/>
    <w:rsid w:val="00553d99"/>
    <w:pPr>
      <w:spacing w:lineRule="auto" w:line="480" w:before="0" w:after="120"/>
    </w:pPr>
    <w:rPr/>
  </w:style>
  <w:style w:type="paragraph" w:styleId="Default" w:customStyle="1">
    <w:name w:val="Default"/>
    <w:qFormat/>
    <w:rsid w:val="00eb0dad"/>
    <w:pPr>
      <w:widowControl/>
      <w:bidi w:val="0"/>
      <w:spacing w:before="0" w:after="0"/>
      <w:jc w:val="left"/>
    </w:pPr>
    <w:rPr>
      <w:rFonts w:ascii="Arial" w:hAnsi="Arial" w:cs="Arial" w:eastAsia="Calibri"/>
      <w:color w:val="000000"/>
      <w:kern w:val="0"/>
      <w:sz w:val="24"/>
      <w:szCs w:val="24"/>
      <w:lang w:val="fr-FR" w:eastAsia="fr-FR" w:bidi="ar-SA"/>
    </w:rPr>
  </w:style>
  <w:style w:type="paragraph" w:styleId="NormalWeb">
    <w:name w:val="Normal (Web)"/>
    <w:basedOn w:val="Normal"/>
    <w:uiPriority w:val="99"/>
    <w:semiHidden/>
    <w:unhideWhenUsed/>
    <w:qFormat/>
    <w:rsid w:val="00174663"/>
    <w:pPr>
      <w:spacing w:beforeAutospacing="1" w:afterAutospacing="1"/>
    </w:pPr>
    <w:rPr>
      <w:rFonts w:ascii="Times New Roman" w:hAnsi="Times New Roman" w:eastAsia="Times New Roman"/>
      <w:sz w:val="24"/>
      <w:szCs w:val="24"/>
      <w:lang w:eastAsia="fr-FR"/>
    </w:rPr>
  </w:style>
  <w:style w:type="paragraph" w:styleId="Title">
    <w:name w:val="Title"/>
    <w:basedOn w:val="Normal"/>
    <w:link w:val="TitreCar"/>
    <w:qFormat/>
    <w:rsid w:val="00097c05"/>
    <w:pPr>
      <w:jc w:val="center"/>
    </w:pPr>
    <w:rPr>
      <w:rFonts w:ascii="Arial" w:hAnsi="Arial" w:eastAsia="Times New Roman" w:cs="Arial"/>
      <w:b/>
      <w:bCs/>
      <w:sz w:val="24"/>
      <w:szCs w:val="24"/>
      <w:lang w:eastAsia="fr-F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fa785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gif"/><Relationship Id="rId7" Type="http://schemas.openxmlformats.org/officeDocument/2006/relationships/image" Target="media/image6.png"/><Relationship Id="rId8" Type="http://schemas.openxmlformats.org/officeDocument/2006/relationships/image" Target="media/image2.png"/><Relationship Id="rId9" Type="http://schemas.openxmlformats.org/officeDocument/2006/relationships/image" Target="media/image7.jpeg"/><Relationship Id="rId10" Type="http://schemas.openxmlformats.org/officeDocument/2006/relationships/image" Target="media/image4.jpe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238</TotalTime>
  <Application>LibreOffice/24.8.6.2$Windows_X86_64 LibreOffice_project/6d98ba145e9a8a39fc57bcc76981d1fb1316c60c</Application>
  <AppVersion>15.0000</AppVersion>
  <Pages>2</Pages>
  <Words>507</Words>
  <Characters>3552</Characters>
  <CharactersWithSpaces>4001</CharactersWithSpaces>
  <Paragraphs>67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2020-01-30T12:29:00Z</dcterms:created>
  <dc:creator>Fx Martin</dc:creator>
  <dc:description/>
  <dc:language>fr-FR</dc:language>
  <cp:lastModifiedBy/>
  <cp:lastPrinted>2012-01-10T20:14:00Z</cp:lastPrinted>
  <dcterms:modified xsi:type="dcterms:W3CDTF">2025-12-29T21:00:53Z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