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EC3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eastAsia="Times New Roman" w:cs="Calibri" w:cstheme="minorHAnsi"/>
          <w:i/>
          <w:i/>
          <w:iCs/>
          <w:sz w:val="22"/>
          <w:szCs w:val="22"/>
          <w:lang w:eastAsia="fr-FR"/>
        </w:rPr>
      </w:pPr>
      <w:r>
        <w:rPr>
          <w:rFonts w:eastAsia="Times New Roman" w:cs="Calibri" w:cstheme="minorHAnsi"/>
          <w:i/>
          <w:iCs/>
          <w:sz w:val="22"/>
          <w:szCs w:val="22"/>
          <w:lang w:eastAsia="fr-FR"/>
        </w:rPr>
        <w:t>Raisonnement appuyé sur un dossier documentaire :</w:t>
      </w:r>
    </w:p>
    <w:p>
      <w:pPr>
        <w:pStyle w:val="Normal"/>
        <w:jc w:val="both"/>
        <w:rPr>
          <w:rFonts w:eastAsia="Times New Roman" w:cs="Calibri" w:cstheme="minorHAnsi"/>
          <w:i/>
          <w:i/>
          <w:iCs/>
          <w:sz w:val="22"/>
          <w:szCs w:val="22"/>
          <w:lang w:eastAsia="fr-FR"/>
        </w:rPr>
      </w:pPr>
      <w:r>
        <w:rPr>
          <w:rFonts w:eastAsia="Times New Roman" w:cs="Calibri" w:cstheme="minorHAnsi"/>
          <w:i/>
          <w:iCs/>
          <w:sz w:val="22"/>
          <w:szCs w:val="22"/>
          <w:lang w:eastAsia="fr-FR"/>
        </w:rPr>
      </w:r>
    </w:p>
    <w:p>
      <w:pPr>
        <w:pStyle w:val="Normal"/>
        <w:jc w:val="both"/>
        <w:rPr>
          <w:rFonts w:eastAsia="Times New Roman" w:cs="Calibri" w:cstheme="minorHAnsi"/>
          <w:i/>
          <w:i/>
          <w:iCs/>
          <w:sz w:val="22"/>
          <w:szCs w:val="22"/>
          <w:lang w:eastAsia="fr-FR"/>
        </w:rPr>
      </w:pPr>
      <w:r>
        <w:rPr>
          <w:rFonts w:eastAsia="Times New Roman" w:cs="Calibri" w:cstheme="minorHAnsi"/>
          <w:i/>
          <w:iCs/>
          <w:sz w:val="22"/>
          <w:szCs w:val="22"/>
          <w:lang w:eastAsia="fr-FR"/>
        </w:rPr>
        <w:t xml:space="preserve">Il est demandé au candidat de traiter le sujet en développant un raisonnement de l’ordre d’une page, en exploitant les documents du dossier et en mobilisant ses connaissances. </w:t>
      </w:r>
    </w:p>
    <w:p>
      <w:pPr>
        <w:pStyle w:val="Normal"/>
        <w:jc w:val="both"/>
        <w:rPr>
          <w:rFonts w:eastAsia="Times New Roman" w:cs="Calibri" w:cstheme="minorHAnsi"/>
          <w:i/>
          <w:i/>
          <w:iCs/>
          <w:sz w:val="22"/>
          <w:szCs w:val="22"/>
          <w:lang w:eastAsia="fr-FR"/>
        </w:rPr>
      </w:pPr>
      <w:r>
        <w:rPr>
          <w:rFonts w:eastAsia="Times New Roman" w:cs="Calibri" w:cstheme="minorHAnsi"/>
          <w:i/>
          <w:iCs/>
          <w:sz w:val="22"/>
          <w:szCs w:val="22"/>
          <w:lang w:eastAsia="fr-FR"/>
        </w:rPr>
        <w:t>Il sera tenu compte, dans la notation, de la clarté de l’expression et du soin apporté à la présentation.</w:t>
      </w:r>
    </w:p>
    <w:p>
      <w:pPr>
        <w:pStyle w:val="Normal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A l’aide de vos connaissances et du dossier documentaire, vous montrerez qu’une politique de dépenses publiques peut avoir des effets contradictoires sur l’activité économique. </w:t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none"/>
        </w:rPr>
        <w:t xml:space="preserve">                                                            </w:t>
      </w:r>
      <w:r>
        <w:rPr>
          <w:rFonts w:cs="Calibri" w:cstheme="minorHAnsi"/>
          <w:b/>
          <w:bCs/>
          <w:sz w:val="22"/>
          <w:szCs w:val="22"/>
          <w:u w:val="none"/>
        </w:rPr>
        <w:t>Le plan de relance du gouvernement année 2021</w:t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  <w:t>Document 1 :</w:t>
      </w:r>
    </w:p>
    <w:p>
      <w:pPr>
        <w:pStyle w:val="Normal"/>
        <w:jc w:val="center"/>
        <w:rPr>
          <w:rFonts w:ascii="Times New Roman" w:hAnsi="Times New Roman" w:eastAsia="Times New Roman" w:cs="Times New Roman"/>
          <w:lang w:eastAsia="fr-FR"/>
        </w:rPr>
      </w:pPr>
      <w:r>
        <w:rPr/>
        <w:drawing>
          <wp:inline distT="0" distB="0" distL="0" distR="0">
            <wp:extent cx="4422775" cy="309562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  <w:t>Document 2 :</w:t>
      </w:r>
    </w:p>
    <w:tbl>
      <w:tblPr>
        <w:tblStyle w:val="Grilledutableau"/>
        <w:tblW w:w="1134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1"/>
      </w:tblGrid>
      <w:tr>
        <w:trPr/>
        <w:tc>
          <w:tcPr>
            <w:tcW w:w="113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Les politiques budgétaires expansionnistes exerceraient un effet d'éviction, ce qui conduit à recommander de tendre vers une amélioration constante des soldes publics.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En effet, la mise en oeuvre d'une politique budgétaire restrictive est susceptible de conduire à une baisse des taux d'intérêt à travers différents canaux de transmission 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- La réduction du besoin de financement des administrations publiques permet une réduction du montant net des émissions de titres publics. Il en résulte 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fr-FR" w:eastAsia="en-US" w:bidi="ar-SA"/>
              </w:rPr>
              <w:t>a priori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 une baisse du prix du capital - le taux d'intérêt - sur les marchés obligataires.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(…)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- Plus généralement, si la situation budgétaire est fortement dégradée, une politique de réduction des déficits publics est de nature à améliorer la crédibilité de la politique économique d'ensemble (…).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- Enfin, lorsque la politique budgétaire restrictive exerce un effet de ralentissement de l'activité économique, ce phénomène est en lui-même susceptible de favoriser une baisse de l'ensemble des taux d'intérêt : d'une part, la diminution de l'investissement privé concourt avec la baisse des émissions de titres publics à une détente des taux de marché ; d'autre part, la contraction de la demande ralentit l'inflation (…)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fr-FR" w:eastAsia="en-US" w:bidi="ar-SA"/>
              </w:rPr>
              <w:t>La coordination des politiques économiques en Europe : le malaise avant la crise ?, Sénat, Rapport d’information, 2007</w:t>
            </w:r>
          </w:p>
        </w:tc>
      </w:tr>
    </w:tbl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/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  <w:t>Document 3 :</w:t>
      </w:r>
    </w:p>
    <w:p>
      <w:pPr>
        <w:pStyle w:val="Normal"/>
        <w:rPr>
          <w:rFonts w:cs="Calibri" w:cstheme="minorHAnsi"/>
          <w:b/>
          <w:bCs/>
          <w:sz w:val="22"/>
          <w:szCs w:val="22"/>
          <w:u w:val="single"/>
        </w:rPr>
      </w:pPr>
      <w:r>
        <w:rPr>
          <w:rFonts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rPr/>
      </w:pPr>
      <w:r>
        <w:rPr/>
        <w:drawing>
          <wp:inline distT="0" distB="0" distL="0" distR="0">
            <wp:extent cx="6645910" cy="4251960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5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HAns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49f6"/>
    <w:pPr>
      <w:spacing w:before="0" w:after="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a49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LibreOffice/24.8.6.2$Windows_X86_64 LibreOffice_project/6d98ba145e9a8a39fc57bcc76981d1fb1316c60c</Application>
  <AppVersion>15.0000</AppVersion>
  <Pages>2</Pages>
  <Words>301</Words>
  <Characters>1635</Characters>
  <CharactersWithSpaces>1983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2022-11-20T22:07:00Z</dcterms:created>
  <dc:creator>Clement Chanteloup</dc:creator>
  <dc:description/>
  <dc:language>fr-FR</dc:language>
  <cp:lastModifiedBy/>
  <dcterms:modified xsi:type="dcterms:W3CDTF">2025-12-14T17:12:53Z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