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pBdr>
          <w:top w:val="single" w:sz="4" w:space="1" w:color="000000"/>
          <w:left w:val="single" w:sz="4" w:space="4" w:color="000000"/>
          <w:bottom w:val="single" w:sz="4" w:space="1" w:color="000000"/>
          <w:right w:val="single" w:sz="4" w:space="4" w:color="000000"/>
        </w:pBdr>
        <w:shd w:val="clear" w:color="auto" w:fill="7F7F7F" w:themeFill="text1" w:themeFillTint="80"/>
        <w:jc w:val="center"/>
        <w:outlineLvl w:val="0"/>
        <w:rPr>
          <w:rFonts w:ascii="Arial" w:hAnsi="Arial" w:cs="Arial"/>
          <w:color w:themeColor="background1" w:val="FFFFFF"/>
          <w:sz w:val="20"/>
          <w:szCs w:val="20"/>
        </w:rPr>
      </w:pPr>
      <w:r>
        <w:rPr>
          <w:rFonts w:cs="Arial" w:ascii="Arial" w:hAnsi="Arial"/>
          <w:color w:themeColor="background1" w:val="FFFFFF"/>
          <w:sz w:val="20"/>
          <w:szCs w:val="20"/>
        </w:rPr>
        <w:t>Documents et exercices – Comment les marchés imparfaitement concurrentiels fonctionnent-ils ?</w:t>
      </w:r>
    </w:p>
    <w:p>
      <w:pPr>
        <w:pStyle w:val="Normal"/>
        <w:spacing w:before="0" w:after="0"/>
        <w:jc w:val="both"/>
        <w:rPr>
          <w:rFonts w:ascii="Arial" w:hAnsi="Arial" w:cs="Arial"/>
          <w:sz w:val="20"/>
          <w:szCs w:val="20"/>
        </w:rPr>
      </w:pPr>
      <w:r>
        <w:rPr>
          <w:rFonts w:cs="Arial" w:ascii="Arial" w:hAnsi="Arial"/>
          <w:sz w:val="20"/>
          <w:szCs w:val="20"/>
        </w:rPr>
      </w:r>
    </w:p>
    <w:p>
      <w:pPr>
        <w:pStyle w:val="NormalWeb"/>
        <w:spacing w:beforeAutospacing="0" w:before="0" w:after="0"/>
        <w:jc w:val="both"/>
        <w:rPr>
          <w:rFonts w:ascii="Arial" w:hAnsi="Arial" w:cs="Arial"/>
          <w:sz w:val="20"/>
          <w:szCs w:val="20"/>
        </w:rPr>
      </w:pPr>
      <w:r>
        <w:rPr>
          <w:rFonts w:cs="Arial" w:ascii="Arial" w:hAnsi="Arial"/>
          <w:color w:themeColor="background1" w:val="FFFFFF"/>
          <w:sz w:val="20"/>
          <w:szCs w:val="20"/>
          <w:highlight w:val="darkGray"/>
        </w:rPr>
        <w:t>Doc 1</w:t>
      </w:r>
      <w:r>
        <w:rPr>
          <w:rFonts w:cs="Arial" w:ascii="Arial" w:hAnsi="Arial"/>
          <w:sz w:val="20"/>
          <w:szCs w:val="20"/>
        </w:rPr>
        <w:t xml:space="preserve"> : concurrence monopolistique sur le marché de la lessive</w:t>
      </w:r>
    </w:p>
    <w:p>
      <w:pPr>
        <w:pStyle w:val="NormalWeb"/>
        <w:tabs>
          <w:tab w:val="clear" w:pos="708"/>
          <w:tab w:val="left" w:pos="2510" w:leader="none"/>
        </w:tabs>
        <w:spacing w:beforeAutospacing="0" w:before="0" w:after="0"/>
        <w:jc w:val="both"/>
        <w:rPr>
          <w:rFonts w:ascii="Arial" w:hAnsi="Arial" w:cs="Arial"/>
          <w:i/>
          <w:i/>
          <w:sz w:val="20"/>
          <w:szCs w:val="20"/>
        </w:rPr>
      </w:pPr>
      <w:r>
        <w:rPr>
          <w:rFonts w:cs="Arial" w:ascii="Arial" w:hAnsi="Arial"/>
          <w:i/>
          <w:sz w:val="20"/>
          <w:szCs w:val="20"/>
        </w:rPr>
        <w:tab/>
      </w:r>
    </w:p>
    <w:tbl>
      <w:tblPr>
        <w:tblStyle w:val="Grilledutableau"/>
        <w:tblpPr w:vertAnchor="text" w:horzAnchor="margin" w:tblpXSpec="right" w:leftFromText="141" w:rightFromText="141" w:tblpY="153"/>
        <w:tblW w:w="7379"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7379"/>
      </w:tblGrid>
      <w:tr>
        <w:trPr/>
        <w:tc>
          <w:tcPr>
            <w:tcW w:w="7379" w:type="dxa"/>
            <w:tcBorders/>
          </w:tcPr>
          <w:p>
            <w:pPr>
              <w:pStyle w:val="NormalWeb"/>
              <w:widowControl/>
              <w:spacing w:beforeAutospacing="0" w:before="0" w:after="0"/>
              <w:jc w:val="both"/>
              <w:rPr>
                <w:rFonts w:ascii="Arial" w:hAnsi="Arial" w:cs="Arial"/>
                <w:i/>
                <w:i/>
                <w:sz w:val="20"/>
                <w:szCs w:val="20"/>
              </w:rPr>
            </w:pPr>
            <w:r>
              <w:rPr>
                <w:rFonts w:cs="Arial" w:ascii="Arial" w:hAnsi="Arial"/>
                <w:i/>
                <w:kern w:val="0"/>
                <w:sz w:val="20"/>
                <w:szCs w:val="20"/>
                <w:lang w:val="fr-FR" w:bidi="ar-SA"/>
              </w:rPr>
              <w:t xml:space="preserve">Quelle condition de concurrence pure et parfaite n’est pas respectée ici ? Pourquoi parle-t-on de concurrence monopolistique pour qualifier cette stratégie ? </w:t>
            </w:r>
            <w:r>
              <w:rPr>
                <w:rFonts w:cs="Arial" w:ascii="Arial" w:hAnsi="Arial"/>
                <w:i/>
                <w:iCs/>
                <w:kern w:val="0"/>
                <w:sz w:val="20"/>
                <w:szCs w:val="20"/>
                <w:lang w:val="fr-FR" w:bidi="ar-SA"/>
              </w:rPr>
              <w:t>Donnez d’autres exemples de situations monopolistiques. La concurrence monopolistique est parfois qualifiée de « concurrence hybride » : expliquez ce qualificatif.</w:t>
            </w:r>
          </w:p>
        </w:tc>
      </w:tr>
    </w:tbl>
    <w:p>
      <w:pPr>
        <w:pStyle w:val="NormalWeb"/>
        <w:spacing w:beforeAutospacing="0" w:before="0" w:after="0"/>
        <w:jc w:val="both"/>
        <w:rPr>
          <w:rFonts w:ascii="Arial" w:hAnsi="Arial" w:cs="Arial"/>
          <w:i/>
          <w:i/>
          <w:sz w:val="20"/>
          <w:szCs w:val="20"/>
        </w:rPr>
      </w:pPr>
      <w:r>
        <w:rPr/>
        <w:drawing>
          <wp:inline distT="0" distB="0" distL="0" distR="0">
            <wp:extent cx="1670050" cy="1252855"/>
            <wp:effectExtent l="0" t="0" r="0" b="0"/>
            <wp:docPr id="1" name="Image 7" descr="Résultat de recherche d'images pour &quot;différenciation de produi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 descr="Résultat de recherche d'images pour &quot;différenciation de produits&quot;"/>
                    <pic:cNvPicPr>
                      <a:picLocks noChangeAspect="1" noChangeArrowheads="1"/>
                    </pic:cNvPicPr>
                  </pic:nvPicPr>
                  <pic:blipFill>
                    <a:blip r:embed="rId2"/>
                    <a:stretch>
                      <a:fillRect/>
                    </a:stretch>
                  </pic:blipFill>
                  <pic:spPr bwMode="auto">
                    <a:xfrm>
                      <a:off x="0" y="0"/>
                      <a:ext cx="1670050" cy="1252855"/>
                    </a:xfrm>
                    <a:prstGeom prst="rect">
                      <a:avLst/>
                    </a:prstGeom>
                    <a:noFill/>
                  </pic:spPr>
                </pic:pic>
              </a:graphicData>
            </a:graphic>
          </wp:inline>
        </w:drawing>
      </w:r>
    </w:p>
    <w:p>
      <w:pPr>
        <w:pStyle w:val="NormalWeb"/>
        <w:spacing w:beforeAutospacing="0" w:before="0" w:after="0"/>
        <w:jc w:val="both"/>
        <w:rPr>
          <w:rFonts w:ascii="Arial" w:hAnsi="Arial" w:cs="Arial"/>
          <w:i/>
          <w:i/>
          <w:sz w:val="20"/>
          <w:szCs w:val="20"/>
        </w:rPr>
      </w:pPr>
      <w:r>
        <w:rPr>
          <w:rFonts w:cs="Arial" w:ascii="Arial" w:hAnsi="Arial"/>
          <w:i/>
          <w:sz w:val="20"/>
          <w:szCs w:val="20"/>
        </w:rPr>
      </w:r>
    </w:p>
    <w:p>
      <w:pPr>
        <w:pStyle w:val="Normal"/>
        <w:spacing w:before="0" w:after="0"/>
        <w:jc w:val="both"/>
        <w:rPr>
          <w:rFonts w:ascii="Arial" w:hAnsi="Arial" w:cs="Arial"/>
          <w:b/>
          <w:sz w:val="20"/>
          <w:szCs w:val="20"/>
        </w:rPr>
      </w:pPr>
      <w:r>
        <w:rPr>
          <w:rFonts w:cs="Arial" w:ascii="Arial" w:hAnsi="Arial"/>
          <w:b/>
          <w:sz w:val="20"/>
          <w:szCs w:val="20"/>
        </w:rPr>
      </w:r>
    </w:p>
    <w:p>
      <w:pPr>
        <w:pStyle w:val="Normal"/>
        <w:spacing w:before="0" w:after="0"/>
        <w:jc w:val="both"/>
        <w:rPr>
          <w:rFonts w:ascii="Arial" w:hAnsi="Arial" w:cs="Arial"/>
          <w:sz w:val="20"/>
          <w:szCs w:val="20"/>
        </w:rPr>
      </w:pPr>
      <w:r>
        <w:rPr>
          <w:rFonts w:cs="Arial" w:ascii="Arial" w:hAnsi="Arial"/>
          <w:color w:themeColor="background1" w:val="FFFFFF"/>
          <w:sz w:val="20"/>
          <w:szCs w:val="20"/>
          <w:highlight w:val="darkGray"/>
        </w:rPr>
        <w:t>Doc 2</w:t>
      </w:r>
      <w:r>
        <w:rPr>
          <w:rFonts w:cs="Arial" w:ascii="Arial" w:hAnsi="Arial"/>
          <w:sz w:val="20"/>
          <w:szCs w:val="20"/>
        </w:rPr>
        <w:t xml:space="preserve"> – La concentration dans le secteur de la grande distribution</w:t>
      </w:r>
    </w:p>
    <w:p>
      <w:pPr>
        <w:pStyle w:val="NormalWeb"/>
        <w:spacing w:beforeAutospacing="0" w:before="0" w:after="0"/>
        <w:jc w:val="both"/>
        <w:rPr>
          <w:rFonts w:ascii="Arial" w:hAnsi="Arial" w:cs="Arial"/>
          <w:sz w:val="16"/>
          <w:szCs w:val="20"/>
        </w:rPr>
      </w:pPr>
      <w:r>
        <w:rPr>
          <w:rFonts w:cs="Arial" w:ascii="Arial" w:hAnsi="Arial"/>
          <w:sz w:val="20"/>
        </w:rPr>
        <w:t>L’éventualité d’un rapprochement entre les groupes Carrefour et Casino a ressurgi fin septembre. Une telle fusion, si elle se réalisait, pousserait la concentration de la grande distribution alimentaire en France, déjà très forte, à un niveau inégalé.</w:t>
      </w:r>
    </w:p>
    <w:p>
      <w:pPr>
        <w:pStyle w:val="NormalWeb"/>
        <w:spacing w:beforeAutospacing="0" w:before="0" w:after="0"/>
        <w:jc w:val="both"/>
        <w:rPr>
          <w:rFonts w:ascii="Arial" w:hAnsi="Arial" w:cs="Arial"/>
          <w:sz w:val="20"/>
          <w:szCs w:val="20"/>
        </w:rPr>
      </w:pPr>
      <w:r>
        <w:rPr>
          <w:rFonts w:cs="Arial" w:ascii="Arial" w:hAnsi="Arial"/>
          <w:sz w:val="20"/>
          <w:szCs w:val="20"/>
        </w:rPr>
        <w:t>Selon l’Insee, près des deux tiers des produits alimentaires sont aujourd’hui achetés en grandes surfaces. Les enseignes de la grande distribution totalisent même près des trois quarts de l’ensemble du commerce alimentaire en magasin. Cette position dominante sur le marché de l’alimentation est aujourd’hui partagée entre six grands groupes (Leclerc, Carrefour, Intermarché, Casino, Système U et Auchan), lesquels détiennent ensemble 90 % de la grande distribution alimentaire française. Pour mesurer la vitesse de la concentration du secteur, il suffit de se souvenir qu’il y a quinze ans à peine, dix enseignes se partageaient la moitié seulement de la distribution alimentaire.</w:t>
      </w:r>
    </w:p>
    <w:p>
      <w:pPr>
        <w:pStyle w:val="NormalWeb"/>
        <w:spacing w:beforeAutospacing="0" w:before="0" w:after="0"/>
        <w:jc w:val="both"/>
        <w:rPr>
          <w:rFonts w:ascii="Arial" w:hAnsi="Arial" w:cs="Arial"/>
          <w:sz w:val="20"/>
          <w:szCs w:val="20"/>
        </w:rPr>
      </w:pPr>
      <w:r>
        <w:rPr>
          <w:rFonts w:cs="Arial" w:ascii="Arial" w:hAnsi="Arial"/>
          <w:sz w:val="20"/>
          <w:szCs w:val="20"/>
        </w:rPr>
        <w:t>La puissance d’achat et le pouvoir de négociation auprès des fournisseurs, producteurs agricoles et entreprises agroalimentaires, sont même encore plus concentrés, puisque ces grands groupes ont décidé, depuis quelques années, de mettre leurs achats en commun pour peser encore plus sur les prix. Trois ou quatre « méga-centrales » contrôlent donc les achats de 90 % des produits alimentaires achetés en magasin.</w:t>
      </w:r>
    </w:p>
    <w:p>
      <w:pPr>
        <w:pStyle w:val="NormalWeb"/>
        <w:spacing w:beforeAutospacing="0" w:before="0" w:after="0"/>
        <w:jc w:val="both"/>
        <w:rPr>
          <w:rFonts w:ascii="Arial" w:hAnsi="Arial" w:cs="Arial"/>
          <w:sz w:val="20"/>
          <w:szCs w:val="20"/>
        </w:rPr>
      </w:pPr>
      <w:r>
        <w:rPr>
          <w:rFonts w:cs="Arial" w:ascii="Arial" w:hAnsi="Arial"/>
          <w:sz w:val="20"/>
          <w:szCs w:val="20"/>
        </w:rPr>
        <w:t xml:space="preserve">Le rapport de forces entre les producteurs et les distributeurs a-t-il besoin d’être encore plus déséquilibré ? L’oligopole qui fixe les prix dans les rayons et impose ses conditions aux petits producteurs agricoles doit-il être encore réduit d’une unité ? Le goulot d’étranglement entre les 400 000 agriculteurs et les 17 000 entreprises de l’agroalimentaire (dont 98 % sont des PME ou des TPE) d’un côté et les 67 millions de consommateurs de l’autre doit-il être encore plus étroit ? </w:t>
      </w:r>
    </w:p>
    <w:p>
      <w:pPr>
        <w:pStyle w:val="NormalWeb"/>
        <w:spacing w:beforeAutospacing="0" w:before="0" w:after="0"/>
        <w:jc w:val="both"/>
        <w:rPr>
          <w:rFonts w:ascii="Arial" w:hAnsi="Arial" w:cs="Arial"/>
          <w:sz w:val="20"/>
          <w:szCs w:val="20"/>
        </w:rPr>
      </w:pPr>
      <w:r>
        <w:rPr>
          <w:rFonts w:cs="Arial" w:ascii="Arial" w:hAnsi="Arial"/>
          <w:sz w:val="20"/>
          <w:szCs w:val="20"/>
        </w:rPr>
        <w:t>Mais un regroupement Carrefour-Casino n’affecterait pas seulement les acteurs de la filière agricole. Les conséquences sociales pourraient être également dramatiques. Des conséquences sociales qui inquiètent sérieusement les syndicats, d’autant que les « synergies » et les « réductions de coûts » recherchées par une telle fusion entraîneraient également des milliers de suppressions d’emplois au niveau des différentes fonctions du siège.</w:t>
      </w:r>
    </w:p>
    <w:p>
      <w:pPr>
        <w:pStyle w:val="NormalWeb"/>
        <w:spacing w:beforeAutospacing="0" w:before="0" w:after="0"/>
        <w:jc w:val="both"/>
        <w:rPr>
          <w:rStyle w:val="Strong"/>
          <w:rFonts w:ascii="Arial" w:hAnsi="Arial" w:cs="Arial"/>
          <w:sz w:val="20"/>
          <w:szCs w:val="20"/>
        </w:rPr>
      </w:pPr>
      <w:r>
        <w:rPr>
          <w:rFonts w:cs="Arial" w:ascii="Arial" w:hAnsi="Arial"/>
          <w:sz w:val="20"/>
          <w:szCs w:val="20"/>
        </w:rPr>
      </w:r>
    </w:p>
    <w:p>
      <w:pPr>
        <w:pStyle w:val="Normal"/>
        <w:spacing w:before="0" w:after="0"/>
        <w:jc w:val="both"/>
        <w:rPr>
          <w:rFonts w:ascii="Arial" w:hAnsi="Arial" w:cs="Arial"/>
          <w:sz w:val="20"/>
          <w:szCs w:val="20"/>
        </w:rPr>
      </w:pPr>
      <w:r>
        <w:rPr>
          <w:rFonts w:cs="Arial" w:ascii="Arial" w:hAnsi="Arial"/>
          <w:sz w:val="20"/>
          <w:szCs w:val="20"/>
        </w:rPr>
        <w:t xml:space="preserve">source : </w:t>
      </w:r>
      <w:hyperlink r:id="rId3">
        <w:r>
          <w:rPr>
            <w:rStyle w:val="Hyperlink"/>
            <w:rFonts w:cs="Arial" w:ascii="Arial" w:hAnsi="Arial"/>
            <w:color w:val="auto"/>
            <w:sz w:val="20"/>
            <w:szCs w:val="20"/>
          </w:rPr>
          <w:t>https://www.legrandsoir.info/fusion-carrefour-casino-quelles-consequences.html</w:t>
        </w:r>
      </w:hyperlink>
    </w:p>
    <w:p>
      <w:pPr>
        <w:pStyle w:val="Normal"/>
        <w:spacing w:before="0" w:after="0"/>
        <w:jc w:val="both"/>
        <w:rPr>
          <w:rFonts w:ascii="Arial" w:hAnsi="Arial" w:cs="Arial"/>
          <w:sz w:val="20"/>
          <w:szCs w:val="20"/>
        </w:rPr>
      </w:pPr>
      <w:r>
        <w:rPr>
          <w:rFonts w:cs="Arial" w:ascii="Arial" w:hAnsi="Arial"/>
          <w:sz w:val="20"/>
          <w:szCs w:val="20"/>
        </w:rPr>
      </w:r>
    </w:p>
    <w:p>
      <w:pPr>
        <w:pStyle w:val="Normal"/>
        <w:spacing w:before="0" w:after="0"/>
        <w:jc w:val="both"/>
        <w:rPr>
          <w:rFonts w:ascii="Arial" w:hAnsi="Arial" w:cs="Arial"/>
          <w:i/>
          <w:i/>
          <w:sz w:val="20"/>
          <w:szCs w:val="20"/>
        </w:rPr>
      </w:pPr>
      <w:r>
        <w:rPr>
          <w:rFonts w:cs="Arial" w:ascii="Arial" w:hAnsi="Arial"/>
          <w:i/>
          <w:sz w:val="20"/>
          <w:szCs w:val="20"/>
        </w:rPr>
        <w:t>Explicitez le terme de concentration. Montrer que le secteur de la grande distribution est de plus en plus concentré. Comment peut se faire la concentration ? Présentez les conséquences de cette concentration</w:t>
      </w:r>
    </w:p>
    <w:p>
      <w:pPr>
        <w:pStyle w:val="Normal"/>
        <w:spacing w:before="0" w:after="0"/>
        <w:jc w:val="both"/>
        <w:rPr>
          <w:rFonts w:ascii="Arial" w:hAnsi="Arial" w:cs="Arial"/>
          <w:sz w:val="20"/>
          <w:szCs w:val="20"/>
        </w:rPr>
      </w:pPr>
      <w:r>
        <w:rPr>
          <w:rFonts w:cs="Arial" w:ascii="Arial" w:hAnsi="Arial"/>
          <w:sz w:val="20"/>
          <w:szCs w:val="20"/>
        </w:rPr>
      </w:r>
    </w:p>
    <w:p>
      <w:pPr>
        <w:pStyle w:val="Normal"/>
        <w:spacing w:before="0" w:after="0"/>
        <w:jc w:val="both"/>
        <w:rPr>
          <w:rFonts w:ascii="Arial" w:hAnsi="Arial" w:cs="Arial"/>
          <w:color w:themeColor="background1" w:val="FFFFFF"/>
          <w:sz w:val="20"/>
          <w:szCs w:val="20"/>
        </w:rPr>
      </w:pPr>
      <w:r>
        <w:rPr>
          <w:rFonts w:cs="Arial" w:ascii="Arial" w:hAnsi="Arial"/>
          <w:color w:themeColor="background1" w:val="FFFFFF"/>
          <w:sz w:val="20"/>
          <w:szCs w:val="20"/>
          <w:highlight w:val="darkGray"/>
        </w:rPr>
        <w:t>Activité 3 p 43</w:t>
      </w:r>
    </w:p>
    <w:p>
      <w:pPr>
        <w:pStyle w:val="Normal"/>
        <w:spacing w:before="0" w:after="0"/>
        <w:jc w:val="both"/>
        <w:rPr>
          <w:rFonts w:ascii="Arial" w:hAnsi="Arial" w:cs="Arial"/>
          <w:i/>
          <w:i/>
          <w:sz w:val="20"/>
          <w:szCs w:val="20"/>
        </w:rPr>
      </w:pPr>
      <w:r>
        <w:rPr>
          <w:rFonts w:cs="Arial" w:ascii="Arial" w:hAnsi="Arial"/>
          <w:bCs/>
          <w:i/>
          <w:sz w:val="20"/>
          <w:szCs w:val="20"/>
        </w:rPr>
        <w:t>Si A et B ne savent pas ce que va faire l’autre, quelle  stratégie va-t-il adopter ? Pour le savoir, c</w:t>
      </w:r>
      <w:r>
        <w:rPr>
          <w:rFonts w:cs="Arial" w:ascii="Arial" w:hAnsi="Arial"/>
          <w:i/>
          <w:sz w:val="20"/>
          <w:szCs w:val="20"/>
        </w:rPr>
        <w:t>omplétez le tableau ci-dessous en présentant les réactions réciproques des deux concurrents</w:t>
      </w:r>
    </w:p>
    <w:tbl>
      <w:tblPr>
        <w:tblStyle w:val="Grilledutableau"/>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51"/>
        <w:gridCol w:w="2650"/>
        <w:gridCol w:w="1"/>
        <w:gridCol w:w="2652"/>
        <w:gridCol w:w="2651"/>
      </w:tblGrid>
      <w:tr>
        <w:trPr/>
        <w:tc>
          <w:tcPr>
            <w:tcW w:w="5301" w:type="dxa"/>
            <w:gridSpan w:val="2"/>
            <w:tcBorders/>
          </w:tcPr>
          <w:p>
            <w:pPr>
              <w:pStyle w:val="Normal"/>
              <w:widowControl/>
              <w:spacing w:lineRule="auto" w:line="240" w:before="0" w:after="0"/>
              <w:jc w:val="center"/>
              <w:rPr>
                <w:rFonts w:ascii="Arial" w:hAnsi="Arial" w:cs="Arial"/>
                <w:sz w:val="20"/>
                <w:szCs w:val="20"/>
              </w:rPr>
            </w:pPr>
            <w:r>
              <w:rPr>
                <w:rFonts w:eastAsia="Calibri" w:cs="Arial" w:ascii="Arial" w:hAnsi="Arial"/>
                <w:kern w:val="0"/>
                <w:sz w:val="20"/>
                <w:szCs w:val="20"/>
                <w:lang w:val="fr-FR" w:eastAsia="en-US" w:bidi="ar-SA"/>
              </w:rPr>
              <w:t>Que fait l’entreprise A ?...</w:t>
            </w:r>
          </w:p>
        </w:tc>
        <w:tc>
          <w:tcPr>
            <w:tcW w:w="5304" w:type="dxa"/>
            <w:gridSpan w:val="3"/>
            <w:tcBorders/>
          </w:tcPr>
          <w:p>
            <w:pPr>
              <w:pStyle w:val="Normal"/>
              <w:widowControl/>
              <w:spacing w:lineRule="auto" w:line="240" w:before="0" w:after="0"/>
              <w:jc w:val="center"/>
              <w:rPr>
                <w:rFonts w:ascii="Arial" w:hAnsi="Arial" w:cs="Arial"/>
                <w:sz w:val="20"/>
                <w:szCs w:val="20"/>
              </w:rPr>
            </w:pPr>
            <w:r>
              <w:rPr>
                <w:rFonts w:eastAsia="Calibri" w:cs="Arial" w:ascii="Arial" w:hAnsi="Arial"/>
                <w:kern w:val="0"/>
                <w:sz w:val="20"/>
                <w:szCs w:val="20"/>
                <w:lang w:val="fr-FR" w:eastAsia="en-US" w:bidi="ar-SA"/>
              </w:rPr>
              <w:t>Que fait l’entreprise B ?....</w:t>
            </w:r>
          </w:p>
        </w:tc>
      </w:tr>
      <w:tr>
        <w:trPr/>
        <w:tc>
          <w:tcPr>
            <w:tcW w:w="2651" w:type="dxa"/>
            <w:tcBorders/>
          </w:tcPr>
          <w:p>
            <w:pPr>
              <w:pStyle w:val="Normal"/>
              <w:widowControl/>
              <w:spacing w:lineRule="auto" w:line="240" w:before="0" w:after="0"/>
              <w:jc w:val="center"/>
              <w:rPr>
                <w:rFonts w:ascii="Arial" w:hAnsi="Arial" w:cs="Arial"/>
                <w:sz w:val="20"/>
                <w:szCs w:val="20"/>
              </w:rPr>
            </w:pPr>
            <w:r>
              <w:rPr>
                <w:rFonts w:eastAsia="Calibri" w:cs="Arial" w:ascii="Arial" w:hAnsi="Arial"/>
                <w:kern w:val="0"/>
                <w:sz w:val="20"/>
                <w:szCs w:val="20"/>
                <w:lang w:val="fr-FR" w:eastAsia="en-US" w:bidi="ar-SA"/>
              </w:rPr>
              <w:t>Si B coopère</w:t>
            </w:r>
          </w:p>
        </w:tc>
        <w:tc>
          <w:tcPr>
            <w:tcW w:w="2651" w:type="dxa"/>
            <w:gridSpan w:val="2"/>
            <w:tcBorders/>
          </w:tcPr>
          <w:p>
            <w:pPr>
              <w:pStyle w:val="Normal"/>
              <w:widowControl/>
              <w:spacing w:lineRule="auto" w:line="240" w:before="0" w:after="0"/>
              <w:jc w:val="center"/>
              <w:rPr>
                <w:rFonts w:ascii="Arial" w:hAnsi="Arial" w:cs="Arial"/>
                <w:sz w:val="20"/>
                <w:szCs w:val="20"/>
              </w:rPr>
            </w:pPr>
            <w:r>
              <w:rPr>
                <w:rFonts w:eastAsia="Calibri" w:cs="Arial" w:ascii="Arial" w:hAnsi="Arial"/>
                <w:kern w:val="0"/>
                <w:sz w:val="20"/>
                <w:szCs w:val="20"/>
                <w:lang w:val="fr-FR" w:eastAsia="en-US" w:bidi="ar-SA"/>
              </w:rPr>
              <w:t>Si B concurrence</w:t>
            </w:r>
          </w:p>
        </w:tc>
        <w:tc>
          <w:tcPr>
            <w:tcW w:w="2652" w:type="dxa"/>
            <w:tcBorders/>
          </w:tcPr>
          <w:p>
            <w:pPr>
              <w:pStyle w:val="Normal"/>
              <w:widowControl/>
              <w:spacing w:lineRule="auto" w:line="240" w:before="0" w:after="0"/>
              <w:jc w:val="center"/>
              <w:rPr>
                <w:rFonts w:ascii="Arial" w:hAnsi="Arial" w:cs="Arial"/>
                <w:sz w:val="20"/>
                <w:szCs w:val="20"/>
              </w:rPr>
            </w:pPr>
            <w:r>
              <w:rPr>
                <w:rFonts w:eastAsia="Calibri" w:cs="Arial" w:ascii="Arial" w:hAnsi="Arial"/>
                <w:kern w:val="0"/>
                <w:sz w:val="20"/>
                <w:szCs w:val="20"/>
                <w:lang w:val="fr-FR" w:eastAsia="en-US" w:bidi="ar-SA"/>
              </w:rPr>
              <w:t>Si A coopère</w:t>
            </w:r>
          </w:p>
        </w:tc>
        <w:tc>
          <w:tcPr>
            <w:tcW w:w="2651" w:type="dxa"/>
            <w:tcBorders/>
          </w:tcPr>
          <w:p>
            <w:pPr>
              <w:pStyle w:val="Normal"/>
              <w:widowControl/>
              <w:spacing w:lineRule="auto" w:line="240" w:before="0" w:after="0"/>
              <w:jc w:val="center"/>
              <w:rPr>
                <w:rFonts w:ascii="Arial" w:hAnsi="Arial" w:cs="Arial"/>
                <w:sz w:val="20"/>
                <w:szCs w:val="20"/>
              </w:rPr>
            </w:pPr>
            <w:r>
              <w:rPr>
                <w:rFonts w:eastAsia="Calibri" w:cs="Arial" w:ascii="Arial" w:hAnsi="Arial"/>
                <w:kern w:val="0"/>
                <w:sz w:val="20"/>
                <w:szCs w:val="20"/>
                <w:lang w:val="fr-FR" w:eastAsia="en-US" w:bidi="ar-SA"/>
              </w:rPr>
              <w:t>Si A concurrence</w:t>
            </w:r>
          </w:p>
        </w:tc>
      </w:tr>
      <w:tr>
        <w:trPr/>
        <w:tc>
          <w:tcPr>
            <w:tcW w:w="2651" w:type="dxa"/>
            <w:tcBorders/>
          </w:tcPr>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tc>
        <w:tc>
          <w:tcPr>
            <w:tcW w:w="2651" w:type="dxa"/>
            <w:gridSpan w:val="2"/>
            <w:tcBorders/>
          </w:tcPr>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tc>
        <w:tc>
          <w:tcPr>
            <w:tcW w:w="2652" w:type="dxa"/>
            <w:tcBorders/>
          </w:tcPr>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tc>
        <w:tc>
          <w:tcPr>
            <w:tcW w:w="2651" w:type="dxa"/>
            <w:tcBorders/>
          </w:tcPr>
          <w:p>
            <w:pPr>
              <w:pStyle w:val="Normal"/>
              <w:widowControl/>
              <w:spacing w:lineRule="auto" w:line="240" w:before="0" w:after="0"/>
              <w:jc w:val="both"/>
              <w:rPr>
                <w:rFonts w:ascii="Arial" w:hAnsi="Arial" w:cs="Arial"/>
                <w:sz w:val="20"/>
                <w:szCs w:val="20"/>
              </w:rPr>
            </w:pPr>
            <w:r>
              <w:rPr>
                <w:rFonts w:eastAsia="Calibri" w:cs="Arial" w:ascii="Arial" w:hAnsi="Arial"/>
                <w:kern w:val="0"/>
                <w:sz w:val="20"/>
                <w:szCs w:val="20"/>
                <w:lang w:val="fr-FR" w:eastAsia="en-US" w:bidi="ar-SA"/>
              </w:rPr>
            </w:r>
          </w:p>
        </w:tc>
      </w:tr>
      <w:tr>
        <w:trPr/>
        <w:tc>
          <w:tcPr>
            <w:tcW w:w="5301" w:type="dxa"/>
            <w:gridSpan w:val="2"/>
            <w:tcBorders/>
          </w:tcPr>
          <w:p>
            <w:pPr>
              <w:pStyle w:val="Normal"/>
              <w:widowControl/>
              <w:spacing w:lineRule="auto" w:line="240" w:before="0" w:after="0"/>
              <w:jc w:val="both"/>
              <w:rPr>
                <w:rFonts w:ascii="Arial" w:hAnsi="Arial" w:cs="Arial"/>
                <w:i/>
                <w:i/>
                <w:sz w:val="20"/>
                <w:szCs w:val="20"/>
              </w:rPr>
            </w:pPr>
            <w:r>
              <w:rPr>
                <w:rFonts w:eastAsia="Calibri" w:cs="Arial" w:ascii="Arial" w:hAnsi="Arial"/>
                <w:i/>
                <w:kern w:val="0"/>
                <w:sz w:val="20"/>
                <w:szCs w:val="20"/>
                <w:lang w:val="fr-FR" w:eastAsia="en-US" w:bidi="ar-SA"/>
              </w:rPr>
              <w:t>Donc stratégie dominante de A = ………………………………………..</w:t>
            </w:r>
          </w:p>
        </w:tc>
        <w:tc>
          <w:tcPr>
            <w:tcW w:w="5304" w:type="dxa"/>
            <w:gridSpan w:val="3"/>
            <w:tcBorders/>
          </w:tcPr>
          <w:p>
            <w:pPr>
              <w:pStyle w:val="Normal"/>
              <w:widowControl/>
              <w:spacing w:lineRule="auto" w:line="240" w:before="0" w:after="0"/>
              <w:jc w:val="both"/>
              <w:rPr>
                <w:rFonts w:ascii="Arial" w:hAnsi="Arial" w:cs="Arial"/>
                <w:i/>
                <w:i/>
                <w:sz w:val="20"/>
                <w:szCs w:val="20"/>
              </w:rPr>
            </w:pPr>
            <w:r>
              <w:rPr>
                <w:rFonts w:eastAsia="Calibri" w:cs="Arial" w:ascii="Arial" w:hAnsi="Arial"/>
                <w:i/>
                <w:kern w:val="0"/>
                <w:sz w:val="20"/>
                <w:szCs w:val="20"/>
                <w:lang w:val="fr-FR" w:eastAsia="en-US" w:bidi="ar-SA"/>
              </w:rPr>
              <w:t>Donc stratégie dominante de B = ………………………………………..</w:t>
            </w:r>
          </w:p>
        </w:tc>
      </w:tr>
      <w:tr>
        <w:trPr/>
        <w:tc>
          <w:tcPr>
            <w:tcW w:w="10605" w:type="dxa"/>
            <w:gridSpan w:val="5"/>
            <w:tcBorders/>
          </w:tcPr>
          <w:p>
            <w:pPr>
              <w:pStyle w:val="Normal"/>
              <w:widowControl/>
              <w:spacing w:lineRule="auto" w:line="240" w:before="0" w:after="0"/>
              <w:jc w:val="both"/>
              <w:rPr>
                <w:rFonts w:ascii="Arial" w:hAnsi="Arial" w:cs="Arial"/>
                <w:i/>
                <w:i/>
                <w:sz w:val="20"/>
                <w:szCs w:val="20"/>
              </w:rPr>
            </w:pPr>
            <w:r>
              <mc:AlternateContent>
                <mc:Choice Requires="wps">
                  <w:drawing>
                    <wp:anchor behindDoc="0" distT="0" distB="0" distL="114300" distR="114300" simplePos="0" locked="0" layoutInCell="1" allowOverlap="1" relativeHeight="3">
                      <wp:simplePos x="0" y="0"/>
                      <wp:positionH relativeFrom="column">
                        <wp:posOffset>984250</wp:posOffset>
                      </wp:positionH>
                      <wp:positionV relativeFrom="paragraph">
                        <wp:posOffset>3810</wp:posOffset>
                      </wp:positionV>
                      <wp:extent cx="279400" cy="128905"/>
                      <wp:effectExtent l="635" t="1270" r="1270" b="635"/>
                      <wp:wrapNone/>
                      <wp:docPr id="2" name=""/>
                      <a:graphic xmlns:a="http://schemas.openxmlformats.org/drawingml/2006/main">
                        <a:graphicData uri="http://schemas.microsoft.com/office/word/2010/wordprocessingShape">
                          <wps:wsp>
                            <wps:cNvSpPr/>
                            <wps:spPr>
                              <a:xfrm>
                                <a:off x="0" y="0"/>
                                <a:ext cx="279360" cy="128880"/>
                              </a:xfrm>
                              <a:prstGeom prst="rightArrow">
                                <a:avLst>
                                  <a:gd name="adj1" fmla="val 50000"/>
                                  <a:gd name="adj2" fmla="val 54190"/>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white" stroked="t" o:allowincell="f" style="position:absolute;margin-left:77.5pt;margin-top:0.3pt;width:21.95pt;height:10.1pt;mso-wrap-style:none;v-text-anchor:middle" type="_x0000_t13">
                      <v:fill o:detectmouseclick="t" type="solid" color2="black"/>
                      <v:stroke color="black" joinstyle="miter" endcap="flat"/>
                      <w10:wrap type="none"/>
                    </v:shape>
                  </w:pict>
                </mc:Fallback>
              </mc:AlternateContent>
            </w:r>
            <w:r>
              <w:rPr>
                <w:rFonts w:eastAsia="Calibri" w:cs="Arial" w:ascii="Arial" w:hAnsi="Arial"/>
                <w:i/>
                <w:kern w:val="0"/>
                <w:sz w:val="20"/>
                <w:szCs w:val="20"/>
                <w:lang w:val="fr-FR" w:eastAsia="en-US" w:bidi="ar-SA"/>
              </w:rPr>
              <w:t xml:space="preserve">                                 </w:t>
            </w:r>
            <w:r>
              <w:rPr>
                <w:rFonts w:eastAsia="Calibri" w:cs="Arial" w:ascii="Arial" w:hAnsi="Arial"/>
                <w:i/>
                <w:kern w:val="0"/>
                <w:sz w:val="20"/>
                <w:szCs w:val="20"/>
                <w:lang w:val="fr-FR" w:eastAsia="en-US" w:bidi="ar-SA"/>
              </w:rPr>
              <w:t>Les deux entreprises se font concurrence = équilibre de Nash, sous optimal</w:t>
            </w:r>
          </w:p>
        </w:tc>
      </w:tr>
    </w:tbl>
    <w:p>
      <w:pPr>
        <w:pStyle w:val="Normal"/>
        <w:spacing w:before="0" w:after="0"/>
        <w:jc w:val="both"/>
        <w:rPr>
          <w:rFonts w:ascii="Arial" w:hAnsi="Arial" w:cs="Arial"/>
          <w:i/>
          <w:i/>
          <w:sz w:val="20"/>
          <w:szCs w:val="20"/>
        </w:rPr>
      </w:pPr>
      <w:r>
        <w:rPr>
          <w:rFonts w:cs="Arial" w:ascii="Arial" w:hAnsi="Arial"/>
          <w:i/>
          <w:sz w:val="20"/>
          <w:szCs w:val="20"/>
        </w:rPr>
      </w:r>
    </w:p>
    <w:p>
      <w:pPr>
        <w:pStyle w:val="Normal"/>
        <w:spacing w:before="0" w:after="0"/>
        <w:jc w:val="both"/>
        <w:rPr>
          <w:rFonts w:ascii="Arial" w:hAnsi="Arial" w:cs="Arial"/>
          <w:i/>
          <w:i/>
          <w:sz w:val="20"/>
          <w:szCs w:val="20"/>
        </w:rPr>
      </w:pPr>
      <w:r>
        <w:rPr>
          <w:rFonts w:cs="Arial" w:ascii="Arial" w:hAnsi="Arial"/>
          <w:i/>
          <w:sz w:val="20"/>
          <w:szCs w:val="20"/>
        </w:rPr>
      </w:r>
    </w:p>
    <w:p>
      <w:pPr>
        <w:pStyle w:val="Normal"/>
        <w:spacing w:before="0" w:after="0"/>
        <w:jc w:val="both"/>
        <w:rPr>
          <w:rFonts w:ascii="Arial" w:hAnsi="Arial" w:cs="Arial"/>
          <w:i/>
          <w:i/>
          <w:sz w:val="20"/>
          <w:szCs w:val="20"/>
        </w:rPr>
      </w:pPr>
      <w:r>
        <w:rPr>
          <w:rFonts w:cs="Arial" w:ascii="Arial" w:hAnsi="Arial"/>
          <w:i/>
          <w:sz w:val="20"/>
          <w:szCs w:val="20"/>
        </w:rPr>
      </w:r>
    </w:p>
    <w:p>
      <w:pPr>
        <w:pStyle w:val="Normal"/>
        <w:spacing w:before="0" w:after="0"/>
        <w:jc w:val="both"/>
        <w:rPr>
          <w:rFonts w:ascii="Arial" w:hAnsi="Arial" w:cs="Arial"/>
          <w:i/>
          <w:i/>
          <w:sz w:val="20"/>
          <w:szCs w:val="20"/>
        </w:rPr>
      </w:pPr>
      <w:r>
        <w:rPr>
          <w:rFonts w:cs="Arial" w:ascii="Arial" w:hAnsi="Arial"/>
          <w:i/>
          <w:sz w:val="20"/>
          <w:szCs w:val="20"/>
        </w:rPr>
      </w:r>
    </w:p>
    <w:p>
      <w:pPr>
        <w:pStyle w:val="NormalWeb"/>
        <w:spacing w:beforeAutospacing="0" w:before="0" w:after="0"/>
        <w:jc w:val="both"/>
        <w:rPr>
          <w:rFonts w:ascii="Arial" w:hAnsi="Arial" w:cs="Arial"/>
          <w:sz w:val="20"/>
          <w:szCs w:val="20"/>
        </w:rPr>
      </w:pPr>
      <w:r>
        <w:rPr>
          <w:rFonts w:cs="Arial" w:ascii="Arial" w:hAnsi="Arial"/>
          <w:color w:themeColor="background1" w:val="FFFFFF"/>
          <w:sz w:val="20"/>
          <w:szCs w:val="20"/>
          <w:highlight w:val="darkGray"/>
        </w:rPr>
        <w:t>Doc 3</w:t>
      </w:r>
      <w:r>
        <w:rPr>
          <w:rFonts w:cs="Arial" w:ascii="Arial" w:hAnsi="Arial"/>
          <w:sz w:val="20"/>
          <w:szCs w:val="20"/>
        </w:rPr>
        <w:t xml:space="preserve"> – le monopole des GAFA face à la politique de la concurrence</w:t>
      </w:r>
    </w:p>
    <w:p>
      <w:pPr>
        <w:pStyle w:val="NormalWeb"/>
        <w:spacing w:beforeAutospacing="0" w:before="0" w:after="0"/>
        <w:jc w:val="both"/>
        <w:rPr>
          <w:rFonts w:ascii="Arial" w:hAnsi="Arial" w:cs="Arial"/>
          <w:sz w:val="20"/>
          <w:szCs w:val="20"/>
        </w:rPr>
      </w:pPr>
      <w:r>
        <w:rPr>
          <w:rFonts w:cs="Arial" w:ascii="Arial" w:hAnsi="Arial"/>
          <w:sz w:val="20"/>
          <w:szCs w:val="20"/>
        </w:rPr>
      </w:r>
    </w:p>
    <w:p>
      <w:pPr>
        <w:pStyle w:val="NormalWeb"/>
        <w:spacing w:beforeAutospacing="0" w:before="0" w:after="0"/>
        <w:jc w:val="both"/>
        <w:rPr>
          <w:rFonts w:ascii="Arial" w:hAnsi="Arial" w:cs="Arial"/>
          <w:sz w:val="20"/>
          <w:szCs w:val="20"/>
        </w:rPr>
      </w:pPr>
      <w:r>
        <w:rPr>
          <w:rFonts w:cs="Arial" w:ascii="Arial" w:hAnsi="Arial"/>
          <w:sz w:val="20"/>
          <w:szCs w:val="20"/>
        </w:rPr>
        <w:t xml:space="preserve">« Si la concentration des plates-formes numériques </w:t>
      </w:r>
      <w:r>
        <w:rPr>
          <w:rFonts w:cs="Arial" w:ascii="Arial" w:hAnsi="Arial"/>
          <w:sz w:val="20"/>
          <w:szCs w:val="20"/>
          <w:vertAlign w:val="superscript"/>
        </w:rPr>
        <w:t>(1)</w:t>
      </w:r>
      <w:r>
        <w:rPr>
          <w:rFonts w:cs="Arial" w:ascii="Arial" w:hAnsi="Arial"/>
          <w:sz w:val="20"/>
          <w:szCs w:val="20"/>
        </w:rPr>
        <w:t xml:space="preserve"> semble inéluctable, ses conséquences négatives peuvent être efficacement combattues par le droit de la concurrence », estime l’économiste et </w:t>
      </w:r>
      <w:hyperlink r:id="rId4" w:tgtFrame="_blank">
        <w:r>
          <w:rPr>
            <w:rStyle w:val="Hyperlink"/>
            <w:rFonts w:cs="Arial" w:ascii="Arial" w:hAnsi="Arial"/>
            <w:color w:val="auto"/>
            <w:sz w:val="20"/>
            <w:szCs w:val="20"/>
            <w:u w:val="none"/>
          </w:rPr>
          <w:t xml:space="preserve">vice-président de l’Autorité de la concurrence </w:t>
        </w:r>
        <w:r>
          <w:rPr>
            <w:rStyle w:val="Hyperlink"/>
            <w:rFonts w:cs="Arial" w:ascii="Arial" w:hAnsi="Arial"/>
            <w:color w:val="auto"/>
            <w:sz w:val="20"/>
            <w:szCs w:val="20"/>
            <w:u w:val="none"/>
            <w:vertAlign w:val="superscript"/>
          </w:rPr>
          <w:t>(2)</w:t>
        </w:r>
        <w:r>
          <w:rPr>
            <w:rStyle w:val="Hyperlink"/>
            <w:rFonts w:cs="Arial" w:ascii="Arial" w:hAnsi="Arial"/>
            <w:color w:val="auto"/>
            <w:sz w:val="20"/>
            <w:szCs w:val="20"/>
            <w:u w:val="none"/>
          </w:rPr>
          <w:t>, Emmanuel Combe</w:t>
        </w:r>
      </w:hyperlink>
      <w:r>
        <w:rPr>
          <w:rFonts w:cs="Arial" w:ascii="Arial" w:hAnsi="Arial"/>
          <w:sz w:val="20"/>
          <w:szCs w:val="20"/>
        </w:rPr>
        <w:t xml:space="preserve">. Favorisées par les « effets de réseau », ces plateformes le sont également par l’absence des « coûts de transport, à l’inverse des industries traditionnelles : le marché a potentiellement la taille de la planète ». Mais là où la législation antitrust </w:t>
      </w:r>
      <w:r>
        <w:rPr>
          <w:rFonts w:cs="Arial" w:ascii="Arial" w:hAnsi="Arial"/>
          <w:sz w:val="20"/>
          <w:szCs w:val="20"/>
          <w:vertAlign w:val="superscript"/>
        </w:rPr>
        <w:t>(3)</w:t>
      </w:r>
      <w:r>
        <w:rPr>
          <w:rFonts w:cs="Arial" w:ascii="Arial" w:hAnsi="Arial"/>
          <w:sz w:val="20"/>
          <w:szCs w:val="20"/>
        </w:rPr>
        <w:t xml:space="preserve"> peut jouer un rôle essentiel c’est moins pour empêcher l’apparition de positions dominantes que de s’assurer que la compétition reste ouverte.</w:t>
      </w:r>
    </w:p>
    <w:p>
      <w:pPr>
        <w:pStyle w:val="NormalWeb"/>
        <w:spacing w:beforeAutospacing="0" w:before="0" w:after="0"/>
        <w:jc w:val="both"/>
        <w:rPr>
          <w:rFonts w:ascii="Arial" w:hAnsi="Arial" w:cs="Arial"/>
          <w:sz w:val="20"/>
          <w:szCs w:val="20"/>
        </w:rPr>
      </w:pPr>
      <w:r>
        <w:rPr>
          <w:rFonts w:cs="Arial" w:ascii="Arial" w:hAnsi="Arial"/>
          <w:sz w:val="20"/>
          <w:szCs w:val="20"/>
        </w:rPr>
        <w:t>Il s’agit tout d’abord d’éviter qu’une plate-forme dominante ne rachète des start-up innovantes qui développent des services concurrents des siens, dans le seul but de les mettre en sommeil. </w:t>
      </w:r>
    </w:p>
    <w:p>
      <w:pPr>
        <w:pStyle w:val="NormalWeb"/>
        <w:spacing w:beforeAutospacing="0" w:before="0" w:after="0"/>
        <w:jc w:val="both"/>
        <w:rPr>
          <w:rFonts w:ascii="Arial" w:hAnsi="Arial" w:cs="Arial"/>
          <w:sz w:val="20"/>
          <w:szCs w:val="20"/>
        </w:rPr>
      </w:pPr>
      <w:r>
        <w:rPr>
          <w:rFonts w:cs="Arial" w:ascii="Arial" w:hAnsi="Arial"/>
          <w:sz w:val="20"/>
          <w:szCs w:val="20"/>
        </w:rPr>
        <w:t xml:space="preserve">Une pratique qualifiée d’« acquisition tueuse », qui a pu être observée dans d’autres secteurs, comme l’industrie pharmaceutique. Autre pratique relevant du droit de la concurrence : l’« abus d’éviction » consistant à marginaliser le développement d’entreprises aux services aussi efficaces. « Google, en position dominante sur les moteurs de recherche, a été condamné par la Commission européenne en juin 2017 pour avoir rétrogradé les services concurrents de comparaison de prix en ligne au profit de son propre service Google Shopping ». Le droit de la concurrence « est suffisamment plastique dans ses concepts fondateurs – abus de position dominante, fusions-acquisitions ou entente – pour s’adapter aux nouvelles réalités économiques ». Mais pour que la détection, parfois délicate, des entorses à la libre concurrence puisse se faire, il faut renforcer les moyens d’investigation. </w:t>
      </w:r>
    </w:p>
    <w:p>
      <w:pPr>
        <w:pStyle w:val="NormalWeb"/>
        <w:spacing w:beforeAutospacing="0" w:before="0" w:after="0"/>
        <w:jc w:val="both"/>
        <w:rPr>
          <w:rFonts w:ascii="Arial" w:hAnsi="Arial" w:cs="Arial"/>
          <w:sz w:val="20"/>
          <w:szCs w:val="20"/>
        </w:rPr>
      </w:pPr>
      <w:r>
        <w:rPr>
          <w:rFonts w:cs="Arial" w:ascii="Arial" w:hAnsi="Arial"/>
          <w:sz w:val="20"/>
          <w:szCs w:val="20"/>
        </w:rPr>
      </w:r>
    </w:p>
    <w:p>
      <w:pPr>
        <w:pStyle w:val="NormalWeb"/>
        <w:spacing w:beforeAutospacing="0" w:before="0" w:after="0"/>
        <w:jc w:val="both"/>
        <w:rPr>
          <w:rFonts w:ascii="Arial" w:hAnsi="Arial" w:cs="Arial"/>
          <w:sz w:val="20"/>
          <w:szCs w:val="20"/>
        </w:rPr>
      </w:pPr>
      <w:r>
        <w:rPr>
          <w:rFonts w:cs="Arial" w:ascii="Arial" w:hAnsi="Arial"/>
          <w:sz w:val="20"/>
          <w:szCs w:val="20"/>
        </w:rPr>
        <w:t xml:space="preserve">source : </w:t>
      </w:r>
      <w:hyperlink r:id="rId5">
        <w:r>
          <w:rPr>
            <w:rStyle w:val="Hyperlink"/>
            <w:rFonts w:cs="Arial" w:ascii="Arial" w:hAnsi="Arial"/>
            <w:sz w:val="20"/>
            <w:szCs w:val="20"/>
          </w:rPr>
          <w:t>https://www.franceculture.fr/emissions/le-journal-des-idees/le-journal-des-idees-emission-du-lundi-17-juin-2019</w:t>
        </w:r>
      </w:hyperlink>
    </w:p>
    <w:p>
      <w:pPr>
        <w:pStyle w:val="NormalWeb"/>
        <w:spacing w:beforeAutospacing="0" w:before="0" w:after="0"/>
        <w:jc w:val="both"/>
        <w:rPr>
          <w:rFonts w:ascii="Arial" w:hAnsi="Arial" w:cs="Arial"/>
          <w:sz w:val="20"/>
          <w:szCs w:val="20"/>
        </w:rPr>
      </w:pPr>
      <w:r>
        <w:rPr>
          <w:rFonts w:cs="Arial" w:ascii="Arial" w:hAnsi="Arial"/>
          <w:sz w:val="20"/>
          <w:szCs w:val="20"/>
        </w:rPr>
      </w:r>
    </w:p>
    <w:p>
      <w:pPr>
        <w:pStyle w:val="NormalWeb"/>
        <w:numPr>
          <w:ilvl w:val="0"/>
          <w:numId w:val="1"/>
        </w:numPr>
        <w:spacing w:beforeAutospacing="0" w:before="0" w:after="0"/>
        <w:jc w:val="both"/>
        <w:rPr>
          <w:rFonts w:ascii="Arial" w:hAnsi="Arial" w:cs="Arial"/>
          <w:sz w:val="20"/>
          <w:szCs w:val="20"/>
        </w:rPr>
      </w:pPr>
      <w:r>
        <w:rPr>
          <w:rFonts w:cs="Arial" w:ascii="Arial" w:hAnsi="Arial"/>
          <w:sz w:val="20"/>
          <w:szCs w:val="20"/>
        </w:rPr>
        <w:t>plate forme numérique : entreprise qui joue le rôle d’intermédiaire entre l’offre et  la demande et crée un marché.</w:t>
      </w:r>
    </w:p>
    <w:p>
      <w:pPr>
        <w:pStyle w:val="NormalWeb"/>
        <w:numPr>
          <w:ilvl w:val="0"/>
          <w:numId w:val="1"/>
        </w:numPr>
        <w:spacing w:beforeAutospacing="0" w:before="0" w:after="0"/>
        <w:jc w:val="both"/>
        <w:rPr>
          <w:rFonts w:ascii="Arial" w:hAnsi="Arial" w:cs="Arial"/>
          <w:sz w:val="20"/>
          <w:szCs w:val="20"/>
        </w:rPr>
      </w:pPr>
      <w:r>
        <w:rPr>
          <w:rFonts w:cs="Arial" w:ascii="Arial" w:hAnsi="Arial"/>
          <w:sz w:val="20"/>
          <w:szCs w:val="20"/>
        </w:rPr>
        <w:t>Autorité de la concurrence : autorité administrative française indépendante, chargée de réguler le fonctionnement de la concurrence sur les marchés.</w:t>
      </w:r>
    </w:p>
    <w:p>
      <w:pPr>
        <w:pStyle w:val="NormalWeb"/>
        <w:numPr>
          <w:ilvl w:val="0"/>
          <w:numId w:val="1"/>
        </w:numPr>
        <w:spacing w:beforeAutospacing="0" w:before="0" w:after="0"/>
        <w:jc w:val="both"/>
        <w:rPr>
          <w:rFonts w:ascii="Arial" w:hAnsi="Arial" w:cs="Arial"/>
          <w:sz w:val="20"/>
          <w:szCs w:val="20"/>
        </w:rPr>
      </w:pPr>
      <w:r>
        <w:rPr>
          <w:rFonts w:cs="Arial" w:ascii="Arial" w:hAnsi="Arial"/>
          <w:sz w:val="20"/>
          <w:szCs w:val="20"/>
        </w:rPr>
        <w:t xml:space="preserve"> </w:t>
      </w:r>
      <w:r>
        <w:rPr>
          <w:rFonts w:cs="Arial" w:ascii="Arial" w:hAnsi="Arial"/>
          <w:sz w:val="20"/>
          <w:szCs w:val="20"/>
        </w:rPr>
        <w:t>législation antitrust : lois restreignant la possibilité de constituer des ententes et des fusions entre firmes</w:t>
      </w:r>
    </w:p>
    <w:p>
      <w:pPr>
        <w:pStyle w:val="NormalWeb"/>
        <w:spacing w:beforeAutospacing="0" w:before="0" w:after="0"/>
        <w:rPr>
          <w:rFonts w:ascii="Arial" w:hAnsi="Arial" w:cs="Arial"/>
          <w:sz w:val="20"/>
          <w:szCs w:val="20"/>
        </w:rPr>
      </w:pPr>
      <w:r>
        <w:rPr>
          <w:rFonts w:cs="Arial" w:ascii="Arial" w:hAnsi="Arial"/>
          <w:sz w:val="20"/>
          <w:szCs w:val="20"/>
        </w:rPr>
      </w:r>
    </w:p>
    <w:p>
      <w:pPr>
        <w:pStyle w:val="NormalWeb"/>
        <w:spacing w:beforeAutospacing="0" w:before="0" w:after="0"/>
        <w:rPr>
          <w:rFonts w:ascii="Arial" w:hAnsi="Arial" w:cs="Arial"/>
          <w:i/>
          <w:i/>
          <w:sz w:val="20"/>
          <w:szCs w:val="20"/>
        </w:rPr>
      </w:pPr>
      <w:r>
        <w:rPr>
          <w:rFonts w:cs="Arial" w:ascii="Arial" w:hAnsi="Arial"/>
          <w:i/>
          <w:sz w:val="20"/>
          <w:szCs w:val="20"/>
        </w:rPr>
        <w:t>Quelles pratiques sont combattues par le droit de la concurrence ? Qui exerce le contrôle de la concurrence en Europe ? Quelles pratiques sont contrôlées et/ou interdites par le droit de la concurrence?</w:t>
      </w:r>
    </w:p>
    <w:p>
      <w:pPr>
        <w:pStyle w:val="NormalWeb"/>
        <w:spacing w:beforeAutospacing="0" w:before="0" w:after="0"/>
        <w:rPr>
          <w:rFonts w:ascii="Arial" w:hAnsi="Arial" w:cs="Arial"/>
          <w:sz w:val="20"/>
          <w:szCs w:val="20"/>
        </w:rPr>
      </w:pPr>
      <w:r>
        <w:rPr>
          <w:rFonts w:cs="Arial" w:ascii="Arial" w:hAnsi="Arial"/>
          <w:sz w:val="20"/>
          <w:szCs w:val="20"/>
        </w:rPr>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bookmarkStart w:id="0" w:name="_GoBack"/>
      <w:bookmarkStart w:id="1" w:name="_GoBack"/>
      <w:bookmarkEnd w:id="1"/>
    </w:p>
    <w:p>
      <w:pPr>
        <w:pStyle w:val="Normal"/>
        <w:rPr>
          <w:lang w:eastAsia="fr-FR"/>
        </w:rPr>
      </w:pPr>
      <w:r>
        <w:rPr>
          <w:lang w:eastAsia="fr-FR"/>
        </w:rPr>
      </w:r>
    </w:p>
    <w:p>
      <w:pPr>
        <w:pStyle w:val="Normal"/>
        <w:rPr>
          <w:lang w:eastAsia="fr-FR"/>
        </w:rPr>
      </w:pPr>
      <w:r>
        <w:rPr>
          <w:lang w:eastAsia="fr-FR"/>
        </w:rPr>
      </w:r>
    </w:p>
    <w:p>
      <w:pPr>
        <w:pStyle w:val="Normal"/>
        <w:rPr>
          <w:lang w:eastAsia="fr-FR"/>
        </w:rPr>
      </w:pPr>
      <w:r>
        <w:rPr>
          <w:lang w:eastAsia="fr-FR"/>
        </w:rPr>
      </w:r>
    </w:p>
    <w:p>
      <w:pPr>
        <w:pStyle w:val="Normal"/>
        <w:tabs>
          <w:tab w:val="clear" w:pos="708"/>
          <w:tab w:val="left" w:pos="9251" w:leader="none"/>
        </w:tabs>
        <w:spacing w:before="0" w:after="200"/>
        <w:rPr>
          <w:lang w:eastAsia="fr-FR"/>
        </w:rPr>
      </w:pPr>
      <w:r>
        <w:rPr>
          <w:lang w:eastAsia="fr-FR"/>
        </w:rPr>
        <w:tab/>
      </w:r>
    </w:p>
    <w:sectPr>
      <w:footerReference w:type="even" r:id="rId6"/>
      <w:footerReference w:type="default" r:id="rId7"/>
      <w:footerReference w:type="first" r:id="rId8"/>
      <w:type w:val="nextPage"/>
      <w:pgSz w:w="11906" w:h="16838"/>
      <w:pgMar w:left="720" w:right="720" w:gutter="0" w:header="0" w:top="720" w:footer="152"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Bottom of Page)"/>
        <w:docPartUnique w:val="true"/>
      </w:docPartObj>
      <w:id w:val="259478257"/>
    </w:sdtPr>
    <w:sdtContent>
      <w:p>
        <w:pPr>
          <w:pStyle w:val="Footer"/>
          <w:jc w:val="center"/>
          <w:rPr/>
        </w:pPr>
        <w:r>
          <w:rPr/>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Bottom of Page)"/>
        <w:docPartUnique w:val="true"/>
      </w:docPartObj>
      <w:id w:val="259478257"/>
    </w:sdtPr>
    <w:sdtContent>
      <w:p>
        <w:pPr>
          <w:pStyle w:val="Footer"/>
          <w:jc w:val="center"/>
          <w:rPr/>
        </w:pPr>
        <w:r>
          <w:rPr/>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0b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2">
    <w:name w:val="heading 2"/>
    <w:basedOn w:val="Normal"/>
    <w:link w:val="Titre2Car"/>
    <w:uiPriority w:val="9"/>
    <w:qFormat/>
    <w:rsid w:val="00f31531"/>
    <w:pPr>
      <w:spacing w:lineRule="auto" w:line="240" w:beforeAutospacing="1" w:afterAutospacing="1"/>
      <w:outlineLvl w:val="1"/>
    </w:pPr>
    <w:rPr>
      <w:rFonts w:ascii="Times New Roman" w:hAnsi="Times New Roman" w:eastAsia="Times New Roman" w:cs="Times New Roman"/>
      <w:b/>
      <w:bCs/>
      <w:sz w:val="36"/>
      <w:szCs w:val="36"/>
      <w:lang w:eastAsia="fr-FR"/>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ae30b1"/>
    <w:rPr/>
  </w:style>
  <w:style w:type="character" w:styleId="PieddepageCar" w:customStyle="1">
    <w:name w:val="Pied de page Car"/>
    <w:basedOn w:val="DefaultParagraphFont"/>
    <w:uiPriority w:val="99"/>
    <w:qFormat/>
    <w:rsid w:val="00ae30b1"/>
    <w:rPr/>
  </w:style>
  <w:style w:type="character" w:styleId="igc-sheet-label" w:customStyle="1">
    <w:name w:val="igc-sheet-label"/>
    <w:basedOn w:val="DefaultParagraphFont"/>
    <w:qFormat/>
    <w:rsid w:val="00ae30b1"/>
    <w:rPr/>
  </w:style>
  <w:style w:type="character" w:styleId="Hyperlink">
    <w:name w:val="Hyperlink"/>
    <w:basedOn w:val="DefaultParagraphFont"/>
    <w:uiPriority w:val="99"/>
    <w:unhideWhenUsed/>
    <w:rsid w:val="00e87d82"/>
    <w:rPr>
      <w:color w:themeColor="hyperlink" w:val="0000FF"/>
      <w:u w:val="single"/>
    </w:rPr>
  </w:style>
  <w:style w:type="character" w:styleId="TextedebullesCar" w:customStyle="1">
    <w:name w:val="Texte de bulles Car"/>
    <w:basedOn w:val="DefaultParagraphFont"/>
    <w:link w:val="BalloonText"/>
    <w:uiPriority w:val="99"/>
    <w:semiHidden/>
    <w:qFormat/>
    <w:rsid w:val="00202703"/>
    <w:rPr>
      <w:rFonts w:ascii="Tahoma" w:hAnsi="Tahoma" w:cs="Tahoma"/>
      <w:sz w:val="16"/>
      <w:szCs w:val="16"/>
    </w:rPr>
  </w:style>
  <w:style w:type="character" w:styleId="FollowedHyperlink">
    <w:name w:val="FollowedHyperlink"/>
    <w:basedOn w:val="DefaultParagraphFont"/>
    <w:uiPriority w:val="99"/>
    <w:semiHidden/>
    <w:unhideWhenUsed/>
    <w:rsid w:val="00ed290f"/>
    <w:rPr>
      <w:color w:themeColor="followedHyperlink" w:val="800080"/>
      <w:u w:val="single"/>
    </w:rPr>
  </w:style>
  <w:style w:type="character" w:styleId="bold" w:customStyle="1">
    <w:name w:val="bold"/>
    <w:basedOn w:val="DefaultParagraphFont"/>
    <w:qFormat/>
    <w:rsid w:val="00ba59c2"/>
    <w:rPr/>
  </w:style>
  <w:style w:type="character" w:styleId="italic" w:customStyle="1">
    <w:name w:val="italic"/>
    <w:basedOn w:val="DefaultParagraphFont"/>
    <w:qFormat/>
    <w:rsid w:val="00ba59c2"/>
    <w:rPr/>
  </w:style>
  <w:style w:type="character" w:styleId="Strong">
    <w:name w:val="Strong"/>
    <w:basedOn w:val="DefaultParagraphFont"/>
    <w:uiPriority w:val="22"/>
    <w:qFormat/>
    <w:rsid w:val="00bc0ccf"/>
    <w:rPr>
      <w:b/>
      <w:bCs/>
    </w:rPr>
  </w:style>
  <w:style w:type="character" w:styleId="Titre2Car" w:customStyle="1">
    <w:name w:val="Titre 2 Car"/>
    <w:basedOn w:val="DefaultParagraphFont"/>
    <w:uiPriority w:val="9"/>
    <w:qFormat/>
    <w:rsid w:val="00f31531"/>
    <w:rPr>
      <w:rFonts w:ascii="Times New Roman" w:hAnsi="Times New Roman" w:eastAsia="Times New Roman" w:cs="Times New Roman"/>
      <w:b/>
      <w:bCs/>
      <w:sz w:val="36"/>
      <w:szCs w:val="36"/>
      <w:lang w:eastAsia="fr-F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ae30b1"/>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ae30b1"/>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ae30b1"/>
    <w:pPr>
      <w:spacing w:lineRule="auto" w:line="240" w:beforeAutospacing="1" w:after="119"/>
    </w:pPr>
    <w:rPr>
      <w:rFonts w:ascii="Times New Roman" w:hAnsi="Times New Roman" w:eastAsia="Times New Roman" w:cs="Times New Roman"/>
      <w:sz w:val="24"/>
      <w:szCs w:val="24"/>
      <w:lang w:eastAsia="fr-FR"/>
    </w:rPr>
  </w:style>
  <w:style w:type="paragraph" w:styleId="ListParagraph">
    <w:name w:val="List Paragraph"/>
    <w:basedOn w:val="Normal"/>
    <w:uiPriority w:val="34"/>
    <w:qFormat/>
    <w:rsid w:val="003f2ec7"/>
    <w:pPr>
      <w:spacing w:before="0" w:after="200"/>
      <w:ind w:left="720"/>
      <w:contextualSpacing/>
    </w:pPr>
    <w:rPr/>
  </w:style>
  <w:style w:type="paragraph" w:styleId="bodytext1" w:customStyle="1">
    <w:name w:val="bodytext"/>
    <w:basedOn w:val="Normal"/>
    <w:qFormat/>
    <w:rsid w:val="00357ac9"/>
    <w:pPr>
      <w:spacing w:lineRule="auto" w:line="240" w:beforeAutospacing="1" w:afterAutospacing="1"/>
    </w:pPr>
    <w:rPr>
      <w:rFonts w:ascii="Times New Roman" w:hAnsi="Times New Roman" w:eastAsia="Times New Roman" w:cs="Times New Roman"/>
      <w:sz w:val="24"/>
      <w:szCs w:val="24"/>
      <w:lang w:eastAsia="fr-FR"/>
    </w:rPr>
  </w:style>
  <w:style w:type="paragraph" w:styleId="BalloonText">
    <w:name w:val="Balloon Text"/>
    <w:basedOn w:val="Normal"/>
    <w:link w:val="TextedebullesCar"/>
    <w:uiPriority w:val="99"/>
    <w:semiHidden/>
    <w:unhideWhenUsed/>
    <w:qFormat/>
    <w:rsid w:val="00202703"/>
    <w:pPr>
      <w:spacing w:lineRule="auto" w:line="240" w:before="0" w:after="0"/>
    </w:pPr>
    <w:rPr>
      <w:rFonts w:ascii="Tahoma" w:hAnsi="Tahoma" w:cs="Tahoma"/>
      <w:sz w:val="16"/>
      <w:szCs w:val="16"/>
    </w:rPr>
  </w:style>
  <w:style w:type="paragraph" w:styleId="Default" w:customStyle="1">
    <w:name w:val="Default"/>
    <w:qFormat/>
    <w:rsid w:val="00af00aa"/>
    <w:pPr>
      <w:widowControl/>
      <w:bidi w:val="0"/>
      <w:spacing w:lineRule="auto" w:line="240" w:before="0" w:after="0"/>
      <w:jc w:val="left"/>
    </w:pPr>
    <w:rPr>
      <w:rFonts w:ascii="Arial" w:hAnsi="Arial" w:cs="Arial" w:eastAsia="Calibri"/>
      <w:color w:val="000000"/>
      <w:kern w:val="0"/>
      <w:sz w:val="24"/>
      <w:szCs w:val="24"/>
      <w:lang w:val="fr-FR" w:eastAsia="en-US" w:bidi="ar-SA"/>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ae30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legrandsoir.info/fusion-carrefour-casino-quelles-consequences.html" TargetMode="External"/><Relationship Id="rId4" Type="http://schemas.openxmlformats.org/officeDocument/2006/relationships/hyperlink" Target="https://www.lemonde.fr/idees/article/2019/06/14/emmanuel-combe-face-aux-gafa-les-autorites-antitrust-ont-un-role-essentiel-pour-s-assurer-que-la-competition-reste-ouverte_5476264_3232.html?xtmc=&amp;xtcr=1" TargetMode="External"/><Relationship Id="rId5" Type="http://schemas.openxmlformats.org/officeDocument/2006/relationships/hyperlink" Target="https://www.franceculture.fr/emissions/le-journal-des-idees/le-journal-des-idees-emission-du-lundi-17-juin-2019"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04CE-88D5-49B6-86A4-E698F1FC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LibreOffice/24.8.6.2$Windows_X86_64 LibreOffice_project/6d98ba145e9a8a39fc57bcc76981d1fb1316c60c</Application>
  <AppVersion>15.0000</AppVersion>
  <Pages>2</Pages>
  <Words>900</Words>
  <Characters>5233</Characters>
  <CharactersWithSpaces>6145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2019-08-23T07:43:00Z</dcterms:created>
  <dc:creator>Delphine</dc:creator>
  <dc:description/>
  <dc:language>fr-FR</dc:language>
  <cp:lastModifiedBy/>
  <dcterms:modified xsi:type="dcterms:W3CDTF">2025-12-17T12:10:55Z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