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lang w:val="fr-FR"/>
        </w:rPr>
      </w:pPr>
      <w:r>
        <w:rPr>
          <w:b/>
          <w:lang w:val="fr-FR"/>
        </w:rPr>
        <w:t>LA POLITIQUE DE LA CONCURRENCE DANS L’</w:t>
      </w:r>
      <w:r>
        <w:rPr>
          <w:b/>
          <w:lang w:val="fr-FR"/>
        </w:rPr>
        <w:t>UEM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1. Présentation :</w:t>
      </w:r>
      <w:r>
        <w:rPr>
          <w:lang w:val="fr-FR"/>
        </w:rPr>
        <w:t xml:space="preserve"> Le Marché unique européen a pour cadre une concurrence libre, loyale et non faussée et parce que, d’autre part, lespratiques anticoncurrentielles des firmes peuvent concerner plusieurs pays de l’UE.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La politique européenne de la concurrence:</w:t>
      </w:r>
      <w:r>
        <w:rPr>
          <w:lang w:val="fr-FR"/>
        </w:rPr>
        <w:t xml:space="preserve">    peut être définie comme l’ensemble des objectifs, des instruments et des décisions prises par une autorité publique de régulation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pour encadrer et favoriser la concurrence sur les marchés. Elle est une composante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fondamentale de la construction européenne depuis 1957 puisque le Marché unique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européen est censé garantir et fonctionner avec une concurrence libre, loyale et non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faussée.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Commission européenne a la compétence exclusive de la mise en œuvre du droit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européen de la concurrence. Chaque État membre possède une autorité nationale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 la concurrence agissant sur son territoire. En France, en 2009, </w:t>
      </w:r>
      <w:r>
        <w:rPr>
          <w:b/>
          <w:lang w:val="fr-FR"/>
        </w:rPr>
        <w:t xml:space="preserve">l’autorité de la 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 xml:space="preserve">concurrence </w:t>
      </w:r>
      <w:r>
        <w:rPr>
          <w:lang w:val="fr-FR"/>
        </w:rPr>
        <w:t xml:space="preserve">a remplacé le Conseil de la Concurrence créé en 1986. Seuls les cas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impliquant au moins trois États sont traités par la Commission européenne, via la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Direction Générale de la Concurrence.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Les monopoles publics, de moins en moins nombreux de nos jours, ont été ouverts à la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concurrence sous l’impulsion de la Commission européenne. Lors de cette ouverture,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des débats ont concerné la remise en cause des caractéristiques des services publics,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notamment en France. La politique européenne de la concurrence a pu sembler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remettre en question la conception française des services publics (égalité, continuité,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mutabilité). Les règles européennes s’appliquent partiellement aux services d’intérêt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économique général, par exemple les télécommunications, les transports, le gaz,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l’électricité. </w:t>
      </w:r>
      <w:r>
        <w:rPr>
          <w:b/>
          <w:lang w:val="fr-FR"/>
        </w:rPr>
        <w:t xml:space="preserve">L’ouverture à la concurrence de ces secteurs s’accompagne néanmoins 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d’une garantie de service universel (accessibilité et qualité pour tous).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2. Les objectifs de la politique européenne de la concurrence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politique européenne de la concurrence vise à promouvoir un fonctionnement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concurrentiel des marchés. Un marché où la concurrence est libre, loyale et non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faussée procure des avantages aux consommateurs, que ceux-ci soient des entreprises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(consommations intermédiaires) ou des ménages (consommation finale). En effet, sur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des marchés concurrentiels, les entreprises sont conduites à diminuer le prix de leurs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produits, à améliorer leur qualité et à innover. De plus, la présence de concurrents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accroît la diversité des produits mis en vente sur un marché. Un autre avantage de la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concurrence consiste à renforcer la compétitivité des entreprises européennes afin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d’affronter la concurrence internationale.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3. Les modalités de la politique européenne de la concurrence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politique de la concurrence comprend quatre volets principaux : </w:t>
      </w:r>
      <w:r>
        <w:rPr>
          <w:b/>
          <w:lang w:val="fr-FR"/>
        </w:rPr>
        <w:t xml:space="preserve">la lutte contre 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 xml:space="preserve">les ententes illicites, la lutte contre les abus de position dominante, la régulation des 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opérations de fusions-acquisitions et les aides d’États.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Pour dissuader les entreprises de participer à des cartels ou d’abuser de leur position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dominante, la politique de la concurrence européenne prévoit des amendes pouvant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atteindre au maximum 10% du chiffre d’affaires mondial du groupe.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régulation des opérations de concentration s’exerce ex ante : les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entreprises soumettent leurs projets de fusions-acquisitions aux autorités de la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concurrence qui peuvent les refuser (cela se produit très rarement : « le contrôle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concentrations n’a conduit à rejeter qu’un faible nombre d’opérations : depuis 2000,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seuls seize cas de refus ont été prononcés sur plus de 6 000 opérations notifiées »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selon un rapport de l’Inspection Générale des Finances ;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Le quatrième volet de la politique européenne de la concurrence concerne les aides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d’État. Ces aides peuvent revêtir plusieurs formes : des prêts à taux faibles,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subventions publiques accordées à des entreprises, des investissements publics,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exonérations fiscales. Le Traité prévoit un certain nombre de situations où ces aides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sont autorisées puisque participant au bon fonctionnement de l’économie (aides à une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région ou à un secteur en difficulté, aides favorisant la Recherche-Développement,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actions en faveur des PME ou de la protection de l’environnement, ou encore en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faveur de la préservation du patrimoine). Par exemple, en 2016, l’État français a fourni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une aide de 4 milliards d’euros à Areva pour éviter la faillite. Cependant lorsque les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aides d’État risquent de fausser la concurrence, elles sont sanctionnées. Ainsi, en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octobre 2017, l’entreprise Amazon a été condamnée à rembourser 250 millions d’euros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d’arriérés d’impôts à l’État luxembourgeois.</w:t>
      </w:r>
    </w:p>
    <w:p>
      <w:pPr>
        <w:pStyle w:val="Normal"/>
        <w:bidi w:val="0"/>
        <w:jc w:val="left"/>
        <w:rPr>
          <w:b/>
          <w:lang w:val="fr-FR"/>
        </w:rPr>
      </w:pPr>
      <w:r>
        <w:rPr>
          <w:b/>
          <w:lang w:val="fr-FR"/>
        </w:rPr>
        <w:t>4. Les limites de la politique européenne de la concurrence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politique de la concurrence est parfois accusée de s’opposer à la politique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industrielle qui vise à améliorer les performances des entreprises et la puissance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industrielle d’un pays (voire d’une zone économique). Par conséquent, la politique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 la concurrence nuirait aussi à la compétitivité des entreprises, et donc à l’emploi,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en sanctionnant les entreprises par des amendes et en refusant certaines opérations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 fusions-acquisitions. Ces critiques émergent à l’aune des pratiques de puissances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commerciales concurrentes, en particulier les États-Unis et la Chine. La politique de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la concurrence serait mise en œuvre de manière plus stricte dans l’Union européenne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que dans les autres pays (notamment les États-Unis) et serait plus contraignante envers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les aides d’État.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Le contrôle des opérations de concentration a été critiqué à plusieurs reprises lors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de refus de rapprochements, par exemple Aérospatiale-Alenia-De Havilland en 1991,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Péchiney-Alcan-Agroup en 2000, Schneider-Legrand en 2002, et plus récemment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Alstom-Siemens (décision du 6 février 2019).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Néanmoins, le droit européen autorise certaines ententes, si elles procurent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avantages économiques en contribuant à l’amélioration de la production ou de la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distribution, au progrès technique ou économique et à l’intérêt des consommateurs et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en n’éliminant pas la possibilité de la concurrence. Ces conditions sont cumulatives et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doivent être réunies simultanément pour échapper au principe de l’interdiction.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Enfin, la politique européenne de la concurrence peine à faire face à l’essor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plateformes numériques, essentiellement américaines (GAFAM : Google, Apple,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Facebook, Amazon, Microsoft) et chinoises (BATX : Baidu, Alibaba, Tencent, Xiamoi),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dont la nature repose sur l’acquisition de positions dominantes. Ces géants du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numérique, en proposant leurs services sur le web, peuvent localiser leur siège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social dans un pays différent de celui où se trouvent leurs utilisateurs et ayant un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taux d’imposition des sociétés moins élevé. Cette situation crée des conditions de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concurrence défavorables et prive certains États membres de recettes fiscales. Des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 xml:space="preserve">négociations internationales (dans le cadre de l’OCDE) en faveur d’une taxation plus </w:t>
      </w:r>
    </w:p>
    <w:p>
      <w:pPr>
        <w:pStyle w:val="Normal"/>
        <w:bidi w:val="0"/>
        <w:jc w:val="left"/>
        <w:rPr>
          <w:lang w:val="fr-FR"/>
        </w:rPr>
      </w:pPr>
      <w:r>
        <w:rPr>
          <w:lang w:val="fr-FR"/>
        </w:rPr>
        <w:t>juste de l’économie numérique sont actuellement en cours.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qFormat/>
    <w:pPr>
      <w:spacing w:before="440" w:after="60"/>
    </w:pPr>
    <w:rPr>
      <w:rFonts w:ascii="Arial" w:hAnsi="Arial"/>
      <w:b/>
      <w:sz w:val="34"/>
    </w:rPr>
  </w:style>
  <w:style w:type="paragraph" w:styleId="Heading2">
    <w:name w:val="heading 2"/>
    <w:basedOn w:val="Titre"/>
    <w:qFormat/>
    <w:pPr>
      <w:spacing w:before="440" w:after="60"/>
    </w:pPr>
    <w:rPr>
      <w:rFonts w:ascii="Arial" w:hAnsi="Arial"/>
      <w:b/>
      <w:sz w:val="28"/>
    </w:rPr>
  </w:style>
  <w:style w:type="paragraph" w:styleId="Heading3">
    <w:name w:val="heading 3"/>
    <w:basedOn w:val="Titre"/>
    <w:qFormat/>
    <w:pPr>
      <w:spacing w:before="440" w:after="60"/>
    </w:pPr>
    <w:rPr>
      <w:rFonts w:ascii="Arial" w:hAnsi="Arial"/>
      <w:b/>
      <w:sz w:val="24"/>
    </w:rPr>
  </w:style>
  <w:style w:type="paragraph" w:styleId="Heading4">
    <w:name w:val="heading 4"/>
    <w:basedOn w:val="Titre"/>
    <w:qFormat/>
    <w:pPr>
      <w:spacing w:before="440" w:after="60"/>
    </w:pPr>
    <w:rPr>
      <w:rFonts w:ascii="Arial" w:hAnsi="Arial"/>
      <w:b/>
      <w:sz w:val="24"/>
    </w:rPr>
  </w:style>
  <w:style w:type="character" w:styleId="Endnote">
    <w:name w:val="Endnote"/>
    <w:qFormat/>
    <w:rPr/>
  </w:style>
  <w:style w:type="character" w:styleId="Reference">
    <w:name w:val="Reference"/>
    <w:qFormat/>
    <w:rPr>
      <w:sz w:val="20"/>
    </w:rPr>
  </w:style>
  <w:style w:type="character" w:styleId="Footnote">
    <w:name w:val="Footnote"/>
    <w:qFormat/>
    <w:rPr>
      <w:sz w:val="20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ts1">
    <w:name w:val="Contents 1"/>
    <w:qFormat/>
    <w:pPr>
      <w:widowControl w:val="false"/>
      <w:bidi w:val="0"/>
      <w:ind w:hanging="431" w:left="72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Contents2">
    <w:name w:val="Contents 2"/>
    <w:qFormat/>
    <w:pPr>
      <w:widowControl w:val="false"/>
      <w:bidi w:val="0"/>
      <w:ind w:hanging="431" w:left="144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Contents3">
    <w:name w:val="Contents 3"/>
    <w:qFormat/>
    <w:pPr>
      <w:widowControl w:val="false"/>
      <w:bidi w:val="0"/>
      <w:ind w:hanging="431" w:left="216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Contents4">
    <w:name w:val="Contents 4"/>
    <w:qFormat/>
    <w:pPr>
      <w:widowControl w:val="false"/>
      <w:bidi w:val="0"/>
      <w:ind w:hanging="431" w:left="288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NumberedHeading1">
    <w:name w:val="Numbered Heading 1"/>
    <w:qFormat/>
    <w:pPr>
      <w:widowControl w:val="false"/>
      <w:tabs>
        <w:tab w:val="clear" w:pos="720"/>
        <w:tab w:val="left" w:pos="431" w:leader="none"/>
      </w:tabs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NumberedHeading2">
    <w:name w:val="Numbered Heading 2"/>
    <w:qFormat/>
    <w:pPr>
      <w:widowControl w:val="false"/>
      <w:tabs>
        <w:tab w:val="clear" w:pos="720"/>
        <w:tab w:val="left" w:pos="431" w:leader="none"/>
      </w:tabs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SquareList">
    <w:name w:val="Square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LowerRomanList">
    <w:name w:val="Lower Roman List"/>
    <w:qFormat/>
    <w:pPr>
      <w:widowControl w:val="false"/>
      <w:bidi w:val="0"/>
      <w:ind w:hanging="431" w:left="72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DiamondList">
    <w:name w:val="Diamond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NumberedList">
    <w:name w:val="Numbered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TriangleList">
    <w:name w:val="Triangle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NumberedHeading3">
    <w:name w:val="Numbered Heading 3"/>
    <w:qFormat/>
    <w:pPr>
      <w:widowControl w:val="false"/>
      <w:tabs>
        <w:tab w:val="clear" w:pos="720"/>
        <w:tab w:val="left" w:pos="431" w:leader="none"/>
      </w:tabs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DashedList">
    <w:name w:val="Dashed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UpperRomanList">
    <w:name w:val="Upper Roman List"/>
    <w:basedOn w:val="NumberedList"/>
    <w:qFormat/>
    <w:pPr>
      <w:ind w:hanging="431" w:left="720"/>
    </w:pPr>
    <w:rPr/>
  </w:style>
  <w:style w:type="paragraph" w:styleId="HeartList">
    <w:name w:val="Heart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ContentsHeader">
    <w:name w:val="Contents Header"/>
    <w:qFormat/>
    <w:pPr>
      <w:widowControl w:val="false"/>
      <w:bidi w:val="0"/>
      <w:spacing w:before="240" w:after="120"/>
      <w:jc w:val="center"/>
    </w:pPr>
    <w:rPr>
      <w:rFonts w:ascii="Arial" w:hAnsi="Arial" w:eastAsia="NSimSun" w:cs="Arial"/>
      <w:b/>
      <w:color w:val="auto"/>
      <w:kern w:val="2"/>
      <w:sz w:val="32"/>
      <w:szCs w:val="24"/>
      <w:lang w:val="fr-FR" w:eastAsia="zh-CN" w:bidi="hi-IN"/>
    </w:rPr>
  </w:style>
  <w:style w:type="paragraph" w:styleId="UpperCaseList">
    <w:name w:val="Upper Case List"/>
    <w:basedOn w:val="NumberedList"/>
    <w:qFormat/>
    <w:pPr>
      <w:ind w:hanging="431" w:left="720"/>
    </w:pPr>
    <w:rPr/>
  </w:style>
  <w:style w:type="paragraph" w:styleId="BulletList">
    <w:name w:val="Bullet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HandList">
    <w:name w:val="Hand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TickList">
    <w:name w:val="Tick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LowerCaseList">
    <w:name w:val="Lower Case List"/>
    <w:basedOn w:val="NumberedList"/>
    <w:qFormat/>
    <w:pPr>
      <w:ind w:hanging="431" w:left="720"/>
    </w:pPr>
    <w:rPr/>
  </w:style>
  <w:style w:type="paragraph" w:styleId="BlockText">
    <w:name w:val="Block Text"/>
    <w:qFormat/>
    <w:pPr>
      <w:widowControl w:val="false"/>
      <w:bidi w:val="0"/>
      <w:spacing w:before="0" w:after="120"/>
      <w:ind w:left="1440" w:right="144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SectionHeading">
    <w:name w:val="Section Heading"/>
    <w:basedOn w:val="NumberedHeading1"/>
    <w:qFormat/>
    <w:pPr>
      <w:tabs>
        <w:tab w:val="clear" w:pos="431"/>
        <w:tab w:val="left" w:pos="1584" w:leader="none"/>
      </w:tabs>
    </w:pPr>
    <w:rPr/>
  </w:style>
  <w:style w:type="paragraph" w:styleId="ImpliesList">
    <w:name w:val="Implies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BoxList">
    <w:name w:val="Box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StarList">
    <w:name w:val="Star List"/>
    <w:qFormat/>
    <w:pPr>
      <w:widowControl w:val="false"/>
      <w:bidi w:val="0"/>
      <w:ind w:hanging="431" w:left="720"/>
    </w:pPr>
    <w:rPr>
      <w:rFonts w:ascii="Times New Roman" w:hAnsi="Times New Roman" w:eastAsia="Dingbats" w:cs="Symbol"/>
      <w:color w:val="auto"/>
      <w:kern w:val="2"/>
      <w:sz w:val="24"/>
      <w:szCs w:val="24"/>
      <w:lang w:val="fr-FR" w:eastAsia="zh-CN" w:bidi="hi-IN"/>
    </w:rPr>
  </w:style>
  <w:style w:type="paragraph" w:styleId="PlainText">
    <w:name w:val="Plain Text"/>
    <w:qFormat/>
    <w:pPr>
      <w:widowControl w:val="false"/>
      <w:bidi w:val="0"/>
    </w:pPr>
    <w:rPr>
      <w:rFonts w:ascii="Courier New" w:hAnsi="Courier New" w:eastAsia="NSimSun" w:cs="Arial"/>
      <w:color w:val="auto"/>
      <w:kern w:val="2"/>
      <w:sz w:val="24"/>
      <w:szCs w:val="24"/>
      <w:lang w:val="fr-FR" w:eastAsia="zh-CN" w:bidi="hi-IN"/>
    </w:rPr>
  </w:style>
  <w:style w:type="paragraph" w:styleId="ChapterHeading">
    <w:name w:val="Chapter Heading"/>
    <w:basedOn w:val="NumberedHeading1"/>
    <w:next w:val="Normal"/>
    <w:qFormat/>
    <w:pPr>
      <w:tabs>
        <w:tab w:val="clear" w:pos="431"/>
        <w:tab w:val="left" w:pos="158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LibreOffice/24.8.6.2$Windows_X86_64 LibreOffice_project/6d98ba145e9a8a39fc57bcc76981d1fb1316c60c</Application>
  <AppVersion>15.0000</AppVersion>
  <Pages>2</Pages>
  <Words>1019</Words>
  <Characters>5921</Characters>
  <CharactersWithSpaces>6928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2026-01-01T20:34:54Z</dcterms:modified>
  <cp:revision>1</cp:revision>
  <dc:subject/>
  <dc:title/>
</cp:coreProperties>
</file>