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pPr>
      <w:r>
        <w:rPr>
          <w:b/>
          <w:bCs/>
          <w:sz w:val="28"/>
          <w:szCs w:val="28"/>
        </w:rPr>
        <w:t>ENTRAINEMENT  DISSERTATION</w:t>
      </w:r>
    </w:p>
    <w:p>
      <w:pPr>
        <w:pStyle w:val="Normal"/>
        <w:bidi w:val="0"/>
        <w:jc w:val="left"/>
        <w:rPr/>
      </w:pPr>
      <w:r>
        <w:rPr/>
      </w:r>
    </w:p>
    <w:p>
      <w:pPr>
        <w:pStyle w:val="BodyText"/>
        <w:jc w:val="center"/>
        <w:rPr>
          <w:rFonts w:ascii="Arial" w:hAnsi="Arial" w:cs="Arial"/>
          <w:b/>
          <w:sz w:val="8"/>
        </w:rPr>
      </w:pPr>
      <w:r>
        <w:rPr/>
        <mc:AlternateContent>
          <mc:Choice Requires="wps">
            <w:drawing>
              <wp:inline distT="0" distB="0" distL="0" distR="0">
                <wp:extent cx="5906770" cy="243840"/>
                <wp:effectExtent l="0" t="0" r="0" b="0"/>
                <wp:docPr id="1" name="Cadre1"/>
                <a:graphic xmlns:a="http://schemas.openxmlformats.org/drawingml/2006/main">
                  <a:graphicData uri="http://schemas.microsoft.com/office/word/2010/wordprocessingShape">
                    <wps:wsp>
                      <wps:cNvSpPr/>
                      <wps:spPr>
                        <a:xfrm>
                          <a:off x="0" y="0"/>
                          <a:ext cx="5906880" cy="243720"/>
                        </a:xfrm>
                        <a:prstGeom prst="rect">
                          <a:avLst/>
                        </a:prstGeom>
                        <a:noFill/>
                        <a:ln w="6350">
                          <a:solidFill>
                            <a:srgbClr val="000000"/>
                          </a:solidFill>
                          <a:round/>
                        </a:ln>
                      </wps:spPr>
                      <wps:style>
                        <a:lnRef idx="0"/>
                        <a:fillRef idx="0"/>
                        <a:effectRef idx="0"/>
                        <a:fontRef idx="minor"/>
                      </wps:style>
                      <wps:txbx>
                        <w:txbxContent>
                          <w:p>
                            <w:pPr>
                              <w:pStyle w:val="Contenudecadreuser"/>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lIns="0" rIns="0" tIns="0" bIns="0" anchor="t">
                        <a:noAutofit/>
                      </wps:bodyPr>
                    </wps:wsp>
                  </a:graphicData>
                </a:graphic>
              </wp:inline>
            </w:drawing>
          </mc:Choice>
          <mc:Fallback>
            <w:pict>
              <v:rect id="shape_0" ID="Cadre1" path="m0,0l-2147483645,0l-2147483645,-2147483646l0,-2147483646xe" fillcolor="white" stroked="t" o:allowincell="f" style="position:absolute;margin-left:0pt;margin-top:-19.25pt;width:465.05pt;height:19.15pt;mso-wrap-style:square;v-text-anchor:top;mso-position-vertical:top">
                <v:fill o:detectmouseclick="t" type="solid" color2="black" opacity="0"/>
                <v:stroke color="black" weight="6480" joinstyle="round" endcap="flat"/>
                <v:textbox>
                  <w:txbxContent>
                    <w:p>
                      <w:pPr>
                        <w:pStyle w:val="Contenudecadreuser"/>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Normal"/>
        <w:jc w:val="both"/>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Normal"/>
        <w:jc w:val="both"/>
        <w:rPr/>
      </w:pPr>
      <w:r>
        <w:rPr/>
      </w:r>
    </w:p>
    <w:p>
      <w:pPr>
        <w:pStyle w:val="ListParagraph"/>
        <w:numPr>
          <w:ilvl w:val="0"/>
          <w:numId w:val="0"/>
        </w:numPr>
        <w:tabs>
          <w:tab w:val="clear" w:pos="709"/>
          <w:tab w:val="left" w:pos="936" w:leader="none"/>
        </w:tabs>
        <w:ind w:hanging="0" w:left="936" w:right="0"/>
        <w:jc w:val="both"/>
        <w:rPr>
          <w:i/>
          <w:i/>
          <w:sz w:val="20"/>
        </w:rPr>
      </w:pPr>
      <w:r>
        <w:rPr>
          <w:i/>
          <w:sz w:val="20"/>
        </w:rPr>
        <w:t>- 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0"/>
        </w:numPr>
        <w:tabs>
          <w:tab w:val="clear" w:pos="709"/>
          <w:tab w:val="left" w:pos="936" w:leader="none"/>
        </w:tabs>
        <w:ind w:hanging="0" w:left="936" w:right="0"/>
        <w:jc w:val="both"/>
        <w:rPr>
          <w:i/>
          <w:i/>
          <w:spacing w:val="-1"/>
          <w:sz w:val="20"/>
        </w:rPr>
      </w:pPr>
      <w:r>
        <w:rPr>
          <w:i/>
          <w:sz w:val="20"/>
        </w:rPr>
        <w:t>- 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0"/>
        </w:numPr>
        <w:tabs>
          <w:tab w:val="clear" w:pos="709"/>
          <w:tab w:val="left" w:pos="937" w:leader="none"/>
        </w:tabs>
        <w:ind w:hanging="0" w:left="936" w:right="0"/>
        <w:jc w:val="both"/>
        <w:rPr>
          <w:i/>
          <w:i/>
          <w:sz w:val="20"/>
        </w:rPr>
      </w:pPr>
      <w:r>
        <w:rPr>
          <w:i/>
          <w:spacing w:val="-1"/>
          <w:sz w:val="20"/>
        </w:rPr>
        <w:t>- 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0"/>
        </w:numPr>
        <w:tabs>
          <w:tab w:val="clear" w:pos="709"/>
          <w:tab w:val="left" w:pos="937" w:leader="none"/>
        </w:tabs>
        <w:ind w:hanging="0" w:left="936" w:right="0"/>
        <w:jc w:val="both"/>
        <w:rPr>
          <w:rFonts w:ascii="Arial" w:hAnsi="Arial" w:cs="Arial"/>
          <w:i/>
          <w:i/>
          <w:sz w:val="19"/>
        </w:rPr>
      </w:pPr>
      <w:r>
        <w:rPr>
          <w:i/>
          <w:sz w:val="20"/>
        </w:rPr>
        <w:t>- 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rPr>
          <w:rFonts w:ascii="Arial" w:hAnsi="Arial" w:cs="Arial"/>
          <w:i/>
          <w:i/>
          <w:sz w:val="19"/>
        </w:rPr>
      </w:pPr>
      <w:r>
        <w:rPr>
          <w:rFonts w:cs="Arial" w:ascii="Arial" w:hAnsi="Arial"/>
          <w:i/>
          <w:sz w:val="19"/>
        </w:rPr>
      </w:r>
    </w:p>
    <w:p>
      <w:pPr>
        <w:pStyle w:val="Normal"/>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rPr>
          <w:rFonts w:ascii="Arial" w:hAnsi="Arial" w:cs="Arial"/>
          <w:i/>
          <w:i/>
          <w:sz w:val="19"/>
        </w:rPr>
      </w:pPr>
      <w:r>
        <w:rPr>
          <w:rFonts w:cs="Arial" w:ascii="Arial" w:hAnsi="Arial"/>
          <w:i/>
          <w:sz w:val="19"/>
        </w:rPr>
      </w:r>
    </w:p>
    <w:p>
      <w:pPr>
        <w:pStyle w:val="Heading2"/>
        <w:numPr>
          <w:ilvl w:val="0"/>
          <w:numId w:val="1"/>
        </w:numPr>
        <w:ind w:hanging="0" w:left="0" w:right="0"/>
        <w:jc w:val="center"/>
        <w:rPr>
          <w:rFonts w:ascii="Arial" w:hAnsi="Arial" w:cs="Arial"/>
          <w:b/>
          <w:sz w:val="23"/>
        </w:rPr>
      </w:pPr>
      <w:r>
        <w:rPr/>
        <w:t>SUJET</w:t>
      </w:r>
    </w:p>
    <w:p>
      <w:pPr>
        <w:pStyle w:val="BodyText"/>
        <w:rPr>
          <w:rFonts w:ascii="Arial" w:hAnsi="Arial" w:cs="Arial"/>
          <w:b/>
          <w:sz w:val="23"/>
        </w:rPr>
      </w:pPr>
      <w:r>
        <w:rPr>
          <w:rFonts w:cs="Arial" w:ascii="Arial" w:hAnsi="Arial"/>
          <w:b/>
          <w:sz w:val="23"/>
        </w:rPr>
      </w:r>
    </w:p>
    <w:p>
      <w:pPr>
        <w:pStyle w:val="Normal"/>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rPr>
          <w:rFonts w:ascii="Arial" w:hAnsi="Arial" w:cs="Arial"/>
          <w:i/>
          <w:i/>
          <w:sz w:val="26"/>
        </w:rPr>
      </w:pPr>
      <w:r>
        <w:rPr>
          <w:rFonts w:cs="Arial" w:ascii="Arial" w:hAnsi="Arial"/>
          <w:i/>
          <w:sz w:val="26"/>
        </w:rPr>
      </w:r>
    </w:p>
    <w:p>
      <w:pPr>
        <w:pStyle w:val="Normal"/>
        <w:bidi w:val="0"/>
        <w:jc w:val="left"/>
        <w:rPr>
          <w:rFonts w:ascii="Arial" w:hAnsi="Arial" w:cs="Arial"/>
          <w:i/>
          <w:i/>
          <w:sz w:val="26"/>
        </w:rPr>
      </w:pPr>
      <w:r>
        <w:rPr>
          <w:rFonts w:cs="Arial" w:ascii="Arial" w:hAnsi="Arial"/>
          <w:i/>
          <w:sz w:val="26"/>
        </w:rPr>
      </w:r>
    </w:p>
    <w:p>
      <w:pPr>
        <w:pStyle w:val="Normal"/>
        <w:bidi w:val="0"/>
        <w:jc w:val="left"/>
        <w:rPr/>
      </w:pPr>
      <w:r>
        <w:rPr/>
      </w:r>
    </w:p>
    <w:p>
      <w:pPr>
        <w:pStyle w:val="Heading2"/>
        <w:numPr>
          <w:ilvl w:val="0"/>
          <w:numId w:val="0"/>
        </w:numPr>
        <w:spacing w:before="0" w:after="0"/>
        <w:ind w:hanging="0" w:left="0" w:right="0"/>
        <w:jc w:val="center"/>
        <w:rPr>
          <w:b/>
          <w:bCs/>
          <w:sz w:val="32"/>
          <w:szCs w:val="32"/>
        </w:rPr>
      </w:pPr>
      <w:r>
        <w:rPr>
          <w:b/>
          <w:bCs/>
          <w:sz w:val="32"/>
          <w:szCs w:val="32"/>
        </w:rPr>
        <w:t xml:space="preserve"> </w:t>
      </w:r>
      <w:r>
        <w:rPr>
          <w:b/>
          <w:bCs/>
          <w:color w:val="000000"/>
          <w:sz w:val="32"/>
          <w:szCs w:val="32"/>
        </w:rPr>
        <w:t xml:space="preserve">   </w:t>
      </w:r>
      <w:bookmarkStart w:id="2" w:name="p19506"/>
      <w:bookmarkEnd w:id="2"/>
      <w:r>
        <w:rPr>
          <w:rFonts w:eastAsia="Arial" w:cs="Arial"/>
          <w:b/>
          <w:bCs/>
          <w:i w:val="false"/>
          <w:caps w:val="false"/>
          <w:smallCaps w:val="false"/>
          <w:color w:val="000000"/>
          <w:spacing w:val="0"/>
          <w:sz w:val="32"/>
          <w:szCs w:val="32"/>
          <w:shd w:fill="auto" w:val="clear"/>
        </w:rPr>
        <w:t>Sujet : En quoi le marché est-il soumis à des défaillances ?</w:t>
      </w:r>
    </w:p>
    <w:p>
      <w:pPr>
        <w:pStyle w:val="Heading2"/>
        <w:numPr>
          <w:ilvl w:val="0"/>
          <w:numId w:val="0"/>
        </w:numPr>
        <w:spacing w:before="0" w:after="0"/>
        <w:ind w:hanging="0" w:left="0" w:right="0"/>
        <w:jc w:val="center"/>
        <w:rPr>
          <w:b/>
          <w:bCs/>
          <w:color w:val="000000"/>
          <w:sz w:val="32"/>
          <w:szCs w:val="32"/>
        </w:rPr>
      </w:pPr>
      <w:r>
        <w:rPr>
          <w:rFonts w:cs="Arial"/>
          <w:b/>
          <w:bCs/>
          <w:color w:val="000000"/>
          <w:sz w:val="32"/>
          <w:szCs w:val="32"/>
        </w:rPr>
        <w:t> </w:t>
      </w:r>
    </w:p>
    <w:p>
      <w:pPr>
        <w:pStyle w:val="Normal"/>
        <w:jc w:val="center"/>
        <w:rPr>
          <w:rFonts w:ascii="Arial" w:hAnsi="Arial" w:cs="Arial"/>
          <w:sz w:val="32"/>
          <w:szCs w:val="32"/>
        </w:rPr>
      </w:pPr>
      <w:r>
        <w:rPr>
          <w:rFonts w:cs="Arial" w:ascii="Arial" w:hAnsi="Arial"/>
          <w:sz w:val="32"/>
          <w:szCs w:val="32"/>
        </w:rPr>
      </w:r>
    </w:p>
    <w:p>
      <w:pPr>
        <w:pStyle w:val="Normal"/>
        <w:jc w:val="center"/>
        <w:rPr>
          <w:rFonts w:ascii="Arial" w:hAnsi="Arial" w:cs="Arial"/>
          <w:sz w:val="32"/>
          <w:szCs w:val="32"/>
        </w:rPr>
      </w:pPr>
      <w:r>
        <w:rPr>
          <w:rFonts w:cs="Arial" w:ascii="Arial" w:hAnsi="Arial"/>
          <w:sz w:val="32"/>
          <w:szCs w:val="32"/>
        </w:rPr>
      </w:r>
    </w:p>
    <w:p>
      <w:pPr>
        <w:pStyle w:val="Normal"/>
        <w:jc w:val="center"/>
        <w:rPr>
          <w:rFonts w:ascii="Arial" w:hAnsi="Arial" w:cs="Arial"/>
          <w:sz w:val="32"/>
          <w:szCs w:val="32"/>
        </w:rPr>
      </w:pPr>
      <w:r>
        <w:rPr>
          <w:rFonts w:cs="Arial" w:ascii="Arial" w:hAnsi="Arial"/>
          <w:sz w:val="32"/>
          <w:szCs w:val="32"/>
        </w:rPr>
      </w:r>
    </w:p>
    <w:p>
      <w:pPr>
        <w:pStyle w:val="Normal"/>
        <w:jc w:val="left"/>
        <w:rPr>
          <w:rFonts w:ascii="Arial" w:hAnsi="Arial" w:cs="Arial"/>
          <w:sz w:val="28"/>
          <w:szCs w:val="28"/>
        </w:rPr>
      </w:pPr>
      <w:r>
        <w:rPr>
          <w:rFonts w:cs="Arial" w:ascii="Arial" w:hAnsi="Arial"/>
          <w:sz w:val="28"/>
          <w:szCs w:val="28"/>
        </w:rPr>
      </w:r>
    </w:p>
    <w:p>
      <w:pPr>
        <w:pStyle w:val="Normal"/>
        <w:jc w:val="left"/>
        <w:rPr>
          <w:sz w:val="28"/>
          <w:szCs w:val="28"/>
        </w:rPr>
      </w:pPr>
      <w:r>
        <w:rPr>
          <w:sz w:val="28"/>
          <w:szCs w:val="28"/>
        </w:rPr>
      </w:r>
    </w:p>
    <w:p>
      <w:pPr>
        <w:pStyle w:val="Normal"/>
        <w:jc w:val="left"/>
        <w:rPr>
          <w:rFonts w:ascii="Arial" w:hAnsi="Arial" w:cs="Arial"/>
          <w:b/>
          <w:bCs/>
          <w:sz w:val="28"/>
          <w:szCs w:val="28"/>
        </w:rPr>
      </w:pPr>
      <w:r>
        <w:rPr>
          <w:rFonts w:cs="Arial" w:ascii="Arial" w:hAnsi="Arial"/>
          <w:b/>
          <w:bCs/>
          <w:sz w:val="28"/>
          <w:szCs w:val="28"/>
        </w:rPr>
        <w:t xml:space="preserve">DOCUMENT 1     </w:t>
      </w:r>
      <w:r>
        <w:rPr>
          <w:rFonts w:cs="Arial" w:ascii="Arial" w:hAnsi="Arial"/>
          <w:b/>
          <w:bCs/>
          <w:sz w:val="28"/>
          <w:szCs w:val="28"/>
        </w:rPr>
        <w:t>Sélection adverse et marché du crédit</w:t>
      </w:r>
    </w:p>
    <w:p>
      <w:pPr>
        <w:pStyle w:val="Heading3"/>
        <w:jc w:val="left"/>
        <w:rPr>
          <w:rFonts w:ascii="Arial" w:hAnsi="Arial" w:cs="Arial"/>
          <w:b/>
          <w:bCs/>
          <w:sz w:val="28"/>
          <w:szCs w:val="28"/>
        </w:rPr>
      </w:pPr>
      <w:r>
        <w:rPr>
          <w:rFonts w:ascii="Sofia;sans-serif" w:hAnsi="Sofia;sans-serif"/>
          <w:b w:val="false"/>
          <w:i w:val="false"/>
          <w:caps w:val="false"/>
          <w:smallCaps w:val="false"/>
          <w:color w:val="1E1E1E"/>
          <w:spacing w:val="0"/>
          <w:sz w:val="15"/>
          <w:szCs w:val="28"/>
        </w:rPr>
      </w:r>
    </w:p>
    <w:p>
      <w:pPr>
        <w:pStyle w:val="BodyText"/>
        <w:widowControl/>
        <w:ind w:hanging="0" w:left="240" w:right="315"/>
        <w:rPr>
          <w:rFonts w:ascii="Sofia;sans-serif" w:hAnsi="Sofia;sans-serif"/>
          <w:b w:val="false"/>
          <w:i w:val="false"/>
          <w:caps w:val="false"/>
          <w:smallCaps w:val="false"/>
          <w:color w:val="55B74E"/>
          <w:spacing w:val="0"/>
          <w:sz w:val="15"/>
        </w:rPr>
      </w:pPr>
      <w:r>
        <w:rPr>
          <w:rFonts w:ascii="Sofia;sans-serif" w:hAnsi="Sofia;sans-serif"/>
          <w:b w:val="false"/>
          <w:i w:val="false"/>
          <w:caps w:val="false"/>
          <w:smallCaps w:val="false"/>
          <w:color w:val="55B74E"/>
          <w:spacing w:val="0"/>
          <w:sz w:val="15"/>
        </w:rPr>
      </w:r>
    </w:p>
    <w:p>
      <w:pPr>
        <w:pStyle w:val="BodyText"/>
        <w:widowControl/>
        <w:spacing w:before="0" w:after="225"/>
        <w:ind w:hanging="0" w:left="0" w:right="0"/>
        <w:jc w:val="both"/>
        <w:rPr>
          <w:rFonts w:ascii="Sofia;sans-serif" w:hAnsi="Sofia;sans-serif"/>
          <w:b w:val="false"/>
          <w:i w:val="false"/>
          <w:caps w:val="false"/>
          <w:smallCaps w:val="false"/>
          <w:color w:val="000000"/>
          <w:spacing w:val="0"/>
        </w:rPr>
      </w:pPr>
      <w:r>
        <w:rPr>
          <w:rFonts w:ascii="Arial" w:hAnsi="Arial"/>
          <w:b w:val="false"/>
          <w:i w:val="false"/>
          <w:caps w:val="false"/>
          <w:smallCaps w:val="false"/>
          <w:color w:val="000000"/>
          <w:spacing w:val="0"/>
          <w:sz w:val="24"/>
          <w:szCs w:val="24"/>
        </w:rPr>
        <w:t>De toute évidence, quand un emprunteur sollicite un financement, il connaît mieux que le prêteur auquel il fait appel la qualité de son projet d’investissement et ses chances de succès (même si, pour lui aussi, le risque d’échec demeure). Il s’agit d’un problème d’asymétrie d’information comme celui mis en évidence par Georges Akerlof ou Joseph Stiglitz dans les années 1970. L’emprunteur devra parvenir à convaincre le prêteur et ce dernier rassembler suffisamment d’informations concordantes pour se forger sa conviction que le projet vaut d’être financé. Le repérage par le prêteur ou le signalement l’emprunteur des projets d’investissement de qualité est nécessairement coûteux (en temps ou en argent). Et si le coût l’emporte sur la qualité attendue, alors le financement n’aura pas lieu.</w:t>
      </w:r>
    </w:p>
    <w:p>
      <w:pPr>
        <w:pStyle w:val="BodyText"/>
        <w:widowControl/>
        <w:spacing w:before="0" w:after="225"/>
        <w:ind w:hanging="0" w:left="0" w:right="0"/>
        <w:jc w:val="both"/>
        <w:rPr/>
      </w:pPr>
      <w:r>
        <w:rPr>
          <w:rFonts w:ascii="Sofia;sans-serif" w:hAnsi="Sofia;sans-serif"/>
          <w:b w:val="false"/>
          <w:i w:val="false"/>
          <w:caps w:val="false"/>
          <w:smallCaps w:val="false"/>
          <w:color w:val="000000"/>
          <w:spacing w:val="0"/>
        </w:rPr>
        <w:t>Jézabel Couppey-Soubeyran, </w:t>
      </w:r>
      <w:r>
        <w:rPr>
          <w:rStyle w:val="Emphasis"/>
          <w:rFonts w:ascii="Sofia;sans-serif" w:hAnsi="Sofia;sans-serif"/>
          <w:b w:val="false"/>
          <w:i w:val="false"/>
          <w:caps w:val="false"/>
          <w:smallCaps w:val="false"/>
          <w:color w:val="000000"/>
          <w:spacing w:val="0"/>
        </w:rPr>
        <w:t>Monnaie, Banques, Finance</w:t>
      </w:r>
      <w:r>
        <w:rPr>
          <w:rFonts w:ascii="Sofia;sans-serif" w:hAnsi="Sofia;sans-serif"/>
          <w:b w:val="false"/>
          <w:i w:val="false"/>
          <w:caps w:val="false"/>
          <w:smallCaps w:val="false"/>
          <w:color w:val="000000"/>
          <w:spacing w:val="0"/>
        </w:rPr>
        <w:t>, PUF, 2015.</w:t>
      </w:r>
    </w:p>
    <w:p>
      <w:pPr>
        <w:pStyle w:val="Normal"/>
        <w:jc w:val="center"/>
        <w:rPr>
          <w:rFonts w:ascii="Arial" w:hAnsi="Arial" w:cs="Arial"/>
          <w:b/>
          <w:bCs/>
          <w:sz w:val="24"/>
        </w:rPr>
      </w:pPr>
      <w:r>
        <w:rPr/>
      </w:r>
    </w:p>
    <w:p>
      <w:pPr>
        <w:pStyle w:val="Normal"/>
        <w:jc w:val="center"/>
        <w:rPr>
          <w:rFonts w:ascii="Arial" w:hAnsi="Arial" w:cs="Arial"/>
          <w:b/>
          <w:bCs/>
          <w:sz w:val="24"/>
        </w:rPr>
      </w:pPr>
      <w:r>
        <w:rPr>
          <w:rFonts w:eastAsia="Liberation Serif;Times New Roman" w:cs="Liberation Serif;Times New Roman"/>
          <w:sz w:val="28"/>
          <w:szCs w:val="28"/>
        </w:rPr>
        <w:t xml:space="preserve">           </w:t>
      </w:r>
      <w:r>
        <w:rPr>
          <w:rFonts w:eastAsia="Liberation Serif;Times New Roman" w:cs="Liberation Serif;Times New Roman"/>
          <w:b/>
          <w:bCs/>
          <w:sz w:val="28"/>
          <w:szCs w:val="28"/>
        </w:rPr>
        <w:t xml:space="preserve">  </w:t>
      </w:r>
    </w:p>
    <w:p>
      <w:pPr>
        <w:pStyle w:val="Normal"/>
        <w:widowControl/>
        <w:suppressAutoHyphens w:val="true"/>
        <w:bidi w:val="0"/>
        <w:ind w:left="-1077" w:right="0"/>
        <w:jc w:val="left"/>
        <w:rPr>
          <w:rFonts w:ascii="Arial" w:hAnsi="Arial" w:eastAsia="Arial" w:cs="Arial"/>
          <w:b/>
          <w:bCs/>
          <w:sz w:val="24"/>
        </w:rPr>
      </w:pPr>
      <w:r>
        <w:rPr>
          <w:rFonts w:cs="Arial" w:ascii="Arial" w:hAnsi="Arial"/>
          <w:b/>
          <w:bCs/>
          <w:sz w:val="24"/>
        </w:rPr>
        <w:t xml:space="preserve">DOC   </w:t>
      </w:r>
    </w:p>
    <w:p>
      <w:pPr>
        <w:pStyle w:val="Normal"/>
        <w:widowControl/>
        <w:suppressAutoHyphens w:val="true"/>
        <w:bidi w:val="0"/>
        <w:ind w:left="-1077" w:right="0"/>
        <w:jc w:val="left"/>
        <w:rPr>
          <w:sz w:val="22"/>
          <w:szCs w:val="22"/>
        </w:rPr>
      </w:pPr>
      <w:r>
        <w:rPr>
          <w:rFonts w:eastAsia="Arial" w:cs="Arial" w:ascii="Arial" w:hAnsi="Arial"/>
          <w:b/>
          <w:bCs/>
          <w:sz w:val="24"/>
        </w:rPr>
        <w:t xml:space="preserve">                     </w:t>
      </w:r>
      <w:r>
        <w:rPr>
          <w:rFonts w:cs="Arial" w:ascii="Arial" w:hAnsi="Arial"/>
          <w:b/>
          <w:bCs/>
          <w:sz w:val="24"/>
          <w:szCs w:val="24"/>
        </w:rPr>
        <w:t xml:space="preserve">DOCUMENT 2  </w:t>
      </w:r>
      <w:r>
        <w:rPr>
          <w:rFonts w:cs="Arial" w:ascii="Arial" w:hAnsi="Arial"/>
          <w:b/>
          <w:bCs/>
          <w:sz w:val="24"/>
          <w:szCs w:val="24"/>
        </w:rPr>
        <w:t>Emissions de CO2 par habitant et rapportées au PIB en 2024</w:t>
      </w:r>
    </w:p>
    <w:p>
      <w:pPr>
        <w:pStyle w:val="Normal"/>
        <w:jc w:val="left"/>
        <w:rPr>
          <w:rFonts w:ascii="Arial" w:hAnsi="Arial" w:cs="Arial"/>
          <w:b/>
          <w:bCs/>
          <w:sz w:val="24"/>
          <w:szCs w:val="24"/>
        </w:rPr>
      </w:pPr>
      <w:r>
        <w:rPr>
          <w:rFonts w:cs="Arial" w:ascii="Arial" w:hAnsi="Arial"/>
          <w:b/>
          <w:bCs/>
          <w:sz w:val="24"/>
          <w:szCs w:val="24"/>
        </w:rPr>
      </w:r>
    </w:p>
    <w:p>
      <w:pPr>
        <w:pStyle w:val="Normal"/>
        <w:jc w:val="left"/>
        <w:rPr>
          <w:sz w:val="22"/>
          <w:szCs w:val="22"/>
        </w:rPr>
      </w:pPr>
      <w:r>
        <w:rPr>
          <w:rFonts w:eastAsia="Merriweather;Palatino Linotype" w:cs="Merriweather;Palatino Linotype" w:ascii="Merriweather;Palatino Linotype" w:hAnsi="Merriweather;Palatino Linotype"/>
          <w:b/>
          <w:bCs/>
          <w:i w:val="false"/>
          <w:caps w:val="false"/>
          <w:smallCaps w:val="false"/>
          <w:color w:val="212121"/>
          <w:spacing w:val="0"/>
          <w:sz w:val="24"/>
          <w:szCs w:val="24"/>
        </w:rPr>
        <w:drawing>
          <wp:anchor behindDoc="0" distT="0" distB="0" distL="0" distR="0" simplePos="0" locked="0" layoutInCell="0" allowOverlap="1" relativeHeight="5">
            <wp:simplePos x="0" y="0"/>
            <wp:positionH relativeFrom="column">
              <wp:posOffset>122555</wp:posOffset>
            </wp:positionH>
            <wp:positionV relativeFrom="paragraph">
              <wp:posOffset>152400</wp:posOffset>
            </wp:positionV>
            <wp:extent cx="7176135" cy="322135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7176135" cy="3221355"/>
                    </a:xfrm>
                    <a:prstGeom prst="rect">
                      <a:avLst/>
                    </a:prstGeom>
                    <a:noFill/>
                  </pic:spPr>
                </pic:pic>
              </a:graphicData>
            </a:graphic>
          </wp:anchor>
        </w:drawing>
      </w:r>
      <w:r>
        <w:rPr>
          <w:rFonts w:eastAsia="Merriweather;Palatino Linotype" w:cs="Merriweather;Palatino Linotype" w:ascii="Merriweather;Palatino Linotype" w:hAnsi="Merriweather;Palatino Linotype"/>
          <w:b/>
          <w:bCs/>
          <w:i w:val="false"/>
          <w:caps w:val="false"/>
          <w:smallCaps w:val="false"/>
          <w:color w:val="212121"/>
          <w:spacing w:val="0"/>
          <w:sz w:val="24"/>
          <w:szCs w:val="24"/>
        </w:rPr>
        <w:t xml:space="preserve">                         </w:t>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rFonts w:ascii="Arial" w:hAnsi="Arial" w:cs="Arial"/>
          <w:b/>
          <w:bCs/>
          <w:color w:val="000000"/>
          <w:sz w:val="24"/>
          <w:szCs w:val="24"/>
          <w:u w:val="none"/>
        </w:rPr>
      </w:pPr>
      <w:r>
        <w:rPr/>
      </w:r>
    </w:p>
    <w:p>
      <w:pPr>
        <w:pStyle w:val="BodyText"/>
        <w:rPr>
          <w:rFonts w:ascii="Arial" w:hAnsi="Arial" w:cs="Arial"/>
          <w:b/>
          <w:bCs/>
          <w:color w:val="000000"/>
          <w:sz w:val="24"/>
          <w:szCs w:val="24"/>
          <w:u w:val="none"/>
        </w:rPr>
      </w:pPr>
      <w:r>
        <w:rPr>
          <w:rFonts w:cs="Arial" w:ascii="Arial" w:hAnsi="Arial"/>
          <w:b/>
          <w:bCs/>
          <w:color w:val="000000"/>
          <w:sz w:val="24"/>
          <w:szCs w:val="24"/>
          <w:u w:val="none"/>
        </w:rPr>
        <w:t xml:space="preserve">DOCUMENT 3 </w:t>
      </w:r>
      <w:r>
        <w:rPr>
          <w:rFonts w:cs="Arial" w:ascii="Arial" w:hAnsi="Arial"/>
          <w:b/>
          <w:bCs/>
          <w:color w:val="000000"/>
          <w:sz w:val="24"/>
          <w:szCs w:val="24"/>
          <w:u w:val="none"/>
        </w:rPr>
        <w:t xml:space="preserve">La gestion des biens communs </w:t>
      </w:r>
    </w:p>
    <w:p>
      <w:pPr>
        <w:pStyle w:val="BodyText"/>
        <w:widowControl/>
        <w:spacing w:before="0" w:after="225"/>
        <w:ind w:hanging="0" w:left="0" w:right="0"/>
        <w:rPr/>
      </w:pPr>
      <w:r>
        <w:rPr>
          <w:rFonts w:ascii="Arial" w:hAnsi="Arial"/>
          <w:b w:val="false"/>
          <w:i w:val="false"/>
          <w:caps w:val="false"/>
          <w:smallCaps w:val="false"/>
          <w:color w:val="000000"/>
          <w:spacing w:val="0"/>
        </w:rPr>
        <w:t>L’entreprise hongkongaise Gobee a annoncé, il y a quelques jours, l’arrêt de son service de vélos en</w:t>
      </w:r>
      <w:r>
        <w:rPr>
          <w:rStyle w:val="Emphasis"/>
          <w:rFonts w:ascii="Arial" w:hAnsi="Arial"/>
          <w:b w:val="false"/>
          <w:i w:val="false"/>
          <w:caps w:val="false"/>
          <w:smallCaps w:val="false"/>
          <w:color w:val="000000"/>
          <w:spacing w:val="0"/>
        </w:rPr>
        <w:t> free floating</w:t>
      </w:r>
      <w:r>
        <w:rPr>
          <w:rStyle w:val="Emphasis"/>
          <w:rStyle w:val="FootnoteReference"/>
          <w:rFonts w:ascii="Arial" w:hAnsi="Arial"/>
          <w:b w:val="false"/>
          <w:i w:val="false"/>
          <w:caps w:val="false"/>
          <w:smallCaps w:val="false"/>
          <w:color w:val="FF0079"/>
          <w:spacing w:val="0"/>
          <w:shd w:fill="auto" w:val="clear"/>
        </w:rPr>
        <w:footnoteReference w:id="2"/>
      </w:r>
      <w:r>
        <w:rPr>
          <w:rStyle w:val="Emphasis"/>
          <w:rFonts w:ascii="Arial" w:hAnsi="Arial"/>
          <w:b w:val="false"/>
          <w:i w:val="false"/>
          <w:caps w:val="false"/>
          <w:smallCaps w:val="false"/>
          <w:color w:val="000000"/>
          <w:spacing w:val="0"/>
        </w:rPr>
        <w:t> à Paris</w:t>
      </w:r>
      <w:r>
        <w:rPr>
          <w:rFonts w:ascii="Arial" w:hAnsi="Arial"/>
          <w:b w:val="false"/>
          <w:i w:val="false"/>
          <w:caps w:val="false"/>
          <w:smallCaps w:val="false"/>
          <w:color w:val="000000"/>
          <w:spacing w:val="0"/>
        </w:rPr>
        <w:t>, après avoir déjà renoncé à Lille et à Reims. En clair : elle cesse ses activités en France, invoquant un taux trop élevé de dégradations et de vols pour un modèle économiquement soutenable. Plutôt que de chercher à expliquer ces phénomènes par un déficit de sens civique, il paraît plus intéressant de se tourner vers le concept de « tragédie des communs ». Ce qui est arrivé à la société Gobee pourrait révéler la difficulté à faire émerger des biens communs dans les espaces urbains tels qu’ils sont aujourd’hui gérés par la puissance publique ou investis par le marché.Dans un célèbre article intitulé « La Tragédie des communs » paru en 1968, le chercheur Garrett Hardin s’efforce de démontrer que les ressources gérées en partage tendent fatalement à subir une surexploitation menaçant à terme leur existence. Il imagine pour cela un pâturage sur lequel des éleveurs de moutons pourraient amener des animaux sans restriction. Chaque éleveur ayant toujours intérêt individuellement à rajouter un mouton afin d’en tirer plus de bénéfices, Hardin estime que le champ finira nécessairement par recevoir un nombre trop important de bêtes, jusqu’à ce que la ressource finisse par être détruite. Pour conjurer ce risque de ruine, Hardin estime qu’il est nécessaire d’appliquer systématiquement des droits de propriété, avec deux modalités : soit la « privatisation » des ressources par l’application de droits de propriété privée pour que le marché les prenne en charge ; soit leur nationalisation par le biais de droits de propriété publique, afin que l’État puisse appliquer une réglementation. Ce cadre d’analyse peut être appliqué au modèle des vélos en </w:t>
      </w:r>
      <w:r>
        <w:rPr>
          <w:rStyle w:val="Emphasis"/>
          <w:rFonts w:ascii="Arial" w:hAnsi="Arial"/>
          <w:b w:val="false"/>
          <w:i w:val="false"/>
          <w:caps w:val="false"/>
          <w:smallCaps w:val="false"/>
          <w:color w:val="000000"/>
          <w:spacing w:val="0"/>
        </w:rPr>
        <w:t>free floating</w:t>
      </w:r>
      <w:r>
        <w:rPr>
          <w:rFonts w:ascii="Arial" w:hAnsi="Arial"/>
          <w:b w:val="false"/>
          <w:i w:val="false"/>
          <w:caps w:val="false"/>
          <w:smallCaps w:val="false"/>
          <w:color w:val="000000"/>
          <w:spacing w:val="0"/>
        </w:rPr>
        <w:t>. Bien que soumis à des droits de propriété privée détenus par des entreprises comme Gobee, les vélos en libre-service se rapprochent sensiblement de ressources en libre accès, telles que les décrivait Garrett Hardin dans son article. Dès lors les individus sont fortement incités, par le modèle même de mise à disposition, à maximiser leurs bénéfices immédiats en extériorisant les coûts, avec à la clé des dégradations. Source : « </w:t>
      </w:r>
      <w:r>
        <w:rPr>
          <w:rStyle w:val="Emphasis"/>
          <w:rFonts w:ascii="Arial" w:hAnsi="Arial"/>
          <w:b w:val="false"/>
          <w:i w:val="false"/>
          <w:caps w:val="false"/>
          <w:smallCaps w:val="false"/>
          <w:color w:val="000000"/>
          <w:spacing w:val="0"/>
        </w:rPr>
        <w:t>Les vélos en libre-service, une double « tragédie des communs</w:t>
      </w:r>
      <w:r>
        <w:rPr>
          <w:rFonts w:ascii="Arial" w:hAnsi="Arial"/>
          <w:b w:val="false"/>
          <w:i w:val="false"/>
          <w:caps w:val="false"/>
          <w:smallCaps w:val="false"/>
          <w:color w:val="000000"/>
          <w:spacing w:val="0"/>
        </w:rPr>
        <w:t> »</w:t>
      </w:r>
      <w:r>
        <w:rPr>
          <w:rStyle w:val="Strong"/>
          <w:rFonts w:ascii="Arial" w:hAnsi="Arial"/>
          <w:b/>
          <w:i w:val="false"/>
          <w:caps w:val="false"/>
          <w:smallCaps w:val="false"/>
          <w:color w:val="000000"/>
          <w:spacing w:val="0"/>
        </w:rPr>
        <w:t>,</w:t>
      </w:r>
      <w:r>
        <w:rPr>
          <w:rFonts w:ascii="Arial" w:hAnsi="Arial"/>
          <w:b w:val="false"/>
          <w:i w:val="false"/>
          <w:caps w:val="false"/>
          <w:smallCaps w:val="false"/>
          <w:color w:val="000000"/>
          <w:spacing w:val="0"/>
        </w:rPr>
        <w:t> Lionel Maurel, The Conversation, 5 mars 2018</w:t>
      </w:r>
    </w:p>
    <w:p>
      <w:pPr>
        <w:pStyle w:val="BodyText"/>
        <w:rPr>
          <w:rFonts w:ascii="Arial" w:hAnsi="Arial"/>
        </w:rPr>
      </w:pPr>
      <w:r>
        <w:rPr>
          <w:rFonts w:ascii="Arial" w:hAnsi="Arial"/>
        </w:rPr>
      </w:r>
    </w:p>
    <w:p>
      <w:pPr>
        <w:pStyle w:val="BodyText"/>
        <w:rPr>
          <w:rFonts w:ascii="Arial" w:hAnsi="Arial" w:eastAsia="Arial" w:cs="Arial"/>
          <w:b/>
          <w:bCs/>
          <w:color w:val="000000"/>
          <w:sz w:val="24"/>
          <w:szCs w:val="24"/>
          <w:u w:val="none"/>
        </w:rPr>
      </w:pPr>
      <w:r>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rFonts w:eastAsia="Liberation Serif;Times New Roman" w:cs="Liberation Serif;Times New Roman"/>
          <w:b/>
          <w:bCs/>
          <w:sz w:val="24"/>
          <w:szCs w:val="24"/>
        </w:rPr>
        <w:t xml:space="preserve"> </w:t>
      </w:r>
      <w:r>
        <w:rPr>
          <w:b/>
          <w:bCs/>
          <w:sz w:val="24"/>
          <w:szCs w:val="24"/>
        </w:rPr>
        <w:t xml:space="preserve">DOCUMENT 4 </w:t>
      </w:r>
      <w:r>
        <w:rPr>
          <w:b/>
          <w:bCs/>
          <w:sz w:val="22"/>
          <w:szCs w:val="22"/>
        </w:rPr>
        <w:t xml:space="preserve"> </w:t>
      </w:r>
      <w:r>
        <w:rPr>
          <w:rFonts w:ascii="Arial" w:hAnsi="Arial"/>
          <w:b/>
          <w:bCs/>
          <w:sz w:val="24"/>
          <w:szCs w:val="24"/>
        </w:rPr>
        <w:t>Le problème de l’aléa moral</w:t>
      </w:r>
    </w:p>
    <w:p>
      <w:pPr>
        <w:pStyle w:val="Normal"/>
        <w:jc w:val="left"/>
        <w:rPr>
          <w:rFonts w:ascii="Arial" w:hAnsi="Arial" w:cs="Arial"/>
          <w:b/>
          <w:bCs/>
          <w:sz w:val="22"/>
          <w:szCs w:val="22"/>
        </w:rPr>
      </w:pPr>
      <w:r>
        <w:rPr>
          <w:rFonts w:cs="Arial" w:ascii="Arial" w:hAnsi="Arial"/>
          <w:b/>
          <w:bCs/>
          <w:sz w:val="22"/>
          <w:szCs w:val="22"/>
        </w:rPr>
        <w:drawing>
          <wp:anchor behindDoc="0" distT="0" distB="0" distL="0" distR="0" simplePos="0" locked="0" layoutInCell="0" allowOverlap="1" relativeHeight="4">
            <wp:simplePos x="0" y="0"/>
            <wp:positionH relativeFrom="column">
              <wp:posOffset>8255</wp:posOffset>
            </wp:positionH>
            <wp:positionV relativeFrom="paragraph">
              <wp:posOffset>368300</wp:posOffset>
            </wp:positionV>
            <wp:extent cx="7353935" cy="247650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7353935" cy="2476500"/>
                    </a:xfrm>
                    <a:prstGeom prst="rect">
                      <a:avLst/>
                    </a:prstGeom>
                    <a:noFill/>
                  </pic:spPr>
                </pic:pic>
              </a:graphicData>
            </a:graphic>
          </wp:anchor>
        </w:drawing>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eastAsia="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pPr>
      <w:r>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p>
    <w:p>
      <w:pPr>
        <w:pStyle w:val="Normal"/>
        <w:jc w:val="center"/>
        <w:rPr>
          <w:rFonts w:ascii="Arial" w:hAnsi="Arial" w:cs="Arial"/>
          <w:b/>
          <w:bCs/>
          <w:sz w:val="22"/>
          <w:szCs w:val="22"/>
        </w:rPr>
      </w:pPr>
      <w:r>
        <w:rPr>
          <w:rFonts w:cs="Arial" w:ascii="Arial" w:hAnsi="Arial"/>
          <w:b/>
          <w:bCs/>
          <w:sz w:val="22"/>
          <w:szCs w:val="22"/>
        </w:rPr>
      </w:r>
    </w:p>
    <w:p>
      <w:pPr>
        <w:pStyle w:val="Normal"/>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rPr>
      </w:pPr>
      <w:r>
        <w:rPr>
          <w:rFonts w:cs="Arial" w:ascii="Arial" w:hAnsi="Arial"/>
          <w:b/>
          <w:bCs/>
        </w:rPr>
        <w:t>DOCUM</w:t>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sectPr>
      <w:footnotePr>
        <w:numFmt w:val="decimal"/>
      </w:footnotePr>
      <w:type w:val="nextPage"/>
      <w:pgSz w:w="11906" w:h="16838"/>
      <w:pgMar w:left="60" w:right="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Arial MT">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Sofia">
    <w:altName w:val="sans-serif"/>
    <w:charset w:val="00"/>
    <w:family w:val="auto"/>
    <w:pitch w:val="default"/>
  </w:font>
  <w:font w:name="Arial">
    <w:charset w:val="01"/>
    <w:family w:val="swiss"/>
    <w:pitch w:val="variable"/>
  </w:font>
  <w:font w:name="Merriweather">
    <w:altName w:val="Palatino Linotype"/>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0"/>
        <w:rPr/>
      </w:pPr>
      <w:r>
        <w:rPr>
          <w:rStyle w:val="Caractresdenotedebasdepage"/>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isplayBackgroundShape/>
  <w:defaultTabStop w:val="709"/>
  <w:autoHyphenation w:val="true"/>
  <w:hyphenationZone w:val="0"/>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fr-FR" w:eastAsia="zh-CN" w:bidi="hi-IN"/>
    </w:rPr>
  </w:style>
  <w:style w:type="paragraph" w:styleId="Heading1">
    <w:name w:val="heading 1"/>
    <w:basedOn w:val="Titreuser"/>
    <w:next w:val="BodyText"/>
    <w:qFormat/>
    <w:p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Normal"/>
    <w:next w:val="BodyText"/>
    <w:qFormat/>
    <w:pPr>
      <w:ind w:hanging="0" w:left="215" w:right="0"/>
      <w:outlineLvl w:val="3"/>
    </w:pPr>
    <w:rPr>
      <w:rFonts w:ascii="Arial" w:hAnsi="Arial" w:eastAsia="Arial" w:cs="Arial"/>
      <w:b/>
      <w:bCs/>
      <w:i/>
      <w:iCs/>
      <w:sz w:val="24"/>
      <w:szCs w:val="24"/>
    </w:rPr>
  </w:style>
  <w:style w:type="character" w:styleId="WW8Num2z0">
    <w:name w:val="WW8Num2z0"/>
    <w:qFormat/>
    <w:rPr>
      <w:rFonts w:ascii="Times New Roman" w:hAnsi="Times New Roman" w:cs="Arial MT"/>
      <w:w w:val="100"/>
      <w:sz w:val="24"/>
      <w:szCs w:val="24"/>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Arial MT" w:hAnsi="Arial MT" w:eastAsia="Arial MT" w:cs="Arial MT"/>
      <w:w w:val="100"/>
      <w:sz w:val="24"/>
      <w:szCs w:val="24"/>
      <w:lang w:val="fr-FR" w:eastAsia="en-US" w:bidi="ar-SA"/>
    </w:rPr>
  </w:style>
  <w:style w:type="character" w:styleId="WW8Num1z1">
    <w:name w:val="WW8Num1z1"/>
    <w:qFormat/>
    <w:rPr>
      <w:rFonts w:ascii="Symbol" w:hAnsi="Symbol" w:cs="Symbol"/>
      <w:lang w:val="fr-FR" w:eastAsia="en-US" w:bidi="ar-SA"/>
    </w:rPr>
  </w:style>
  <w:style w:type="character" w:styleId="Hyperlink">
    <w:name w:val="Hyperlink"/>
    <w:rPr>
      <w:color w:val="000080"/>
      <w:u w:val="single"/>
    </w:rPr>
  </w:style>
  <w:style w:type="character" w:styleId="Strong">
    <w:name w:val="Strong"/>
    <w:qFormat/>
    <w:rPr>
      <w:b/>
      <w:bCs/>
    </w:rPr>
  </w:style>
  <w:style w:type="character" w:styleId="Dfinition">
    <w:name w:val="Définition"/>
    <w:qFormat/>
    <w:rPr/>
  </w:style>
  <w:style w:type="character" w:styleId="Emphasis">
    <w:name w:val="Emphasis"/>
    <w:qFormat/>
    <w:rPr>
      <w:i/>
      <w:iCs/>
    </w:rPr>
  </w:style>
  <w:style w:type="character" w:styleId="Caractresdenotedebasdepage">
    <w:name w:val="Caractères de note de bas de page"/>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ListParagraph">
    <w:name w:val="List Paragraph"/>
    <w:basedOn w:val="Normal"/>
    <w:qFormat/>
    <w:pPr>
      <w:ind w:hanging="360" w:left="936" w:right="0"/>
    </w:pPr>
    <w:rPr>
      <w:rFonts w:ascii="Arial" w:hAnsi="Arial" w:eastAsia="Arial" w:cs="Arial"/>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 w:type="paragraph" w:styleId="Contenudecadreuser">
    <w:name w:val="Contenu de cadre (user)"/>
    <w:basedOn w:val="Normal"/>
    <w:qFormat/>
    <w:pPr/>
    <w:rPr/>
  </w:style>
  <w:style w:type="paragraph" w:styleId="Contenudecadre">
    <w:name w:val="Contenu de cadre"/>
    <w:basedOn w:val="Normal"/>
    <w:qFormat/>
    <w:pPr/>
    <w:rPr/>
  </w:style>
  <w:style w:type="paragraph" w:styleId="FootnoteText">
    <w:name w:val="footnote text"/>
    <w:basedOn w:val="Normal"/>
    <w:pPr>
      <w:suppressLineNumbers/>
      <w:ind w:hanging="340" w:left="340"/>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TotalTime>
  <Application>LibreOffice/24.8.6.2$Windows_X86_64 LibreOffice_project/6d98ba145e9a8a39fc57bcc76981d1fb1316c60c</Application>
  <AppVersion>15.0000</AppVersion>
  <Pages>3</Pages>
  <Words>669</Words>
  <Characters>3522</Characters>
  <CharactersWithSpaces>4300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2025-11-21T11:46:11Z</dcterms:created>
  <dc:creator/>
  <dc:description/>
  <dc:language>fr-FR</dc:language>
  <cp:lastModifiedBy/>
  <dcterms:modified xsi:type="dcterms:W3CDTF">2025-12-16T19:14:26Z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