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user"/>
        <w:tabs>
          <w:tab w:val="clear" w:pos="709"/>
          <w:tab w:val="left" w:pos="0" w:leader="none"/>
        </w:tabs>
        <w:ind w:hanging="0" w:left="0"/>
        <w:rPr/>
      </w:pPr>
      <w:r>
        <w:rPr>
          <w:rStyle w:val="Policepardfaut"/>
          <w:rFonts w:eastAsia="HG Mincho Light J" w:cs="Arial Unicode MS"/>
        </w:rPr>
        <w:t>TEST</w:t>
      </w:r>
      <w:r>
        <w:rPr/>
        <w:t> : Le travail des économistes, des sociologues et des politologues</w:t>
      </w:r>
    </w:p>
    <w:p>
      <w:pPr>
        <w:pStyle w:val="Retrait1"/>
        <w:rPr/>
      </w:pPr>
      <w:r>
        <w:rPr/>
        <w:t>QCM (1 seule réponse possible à chaque ligne)</w:t>
      </w:r>
    </w:p>
    <w:tbl>
      <w:tblPr>
        <w:tblW w:w="1020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32"/>
        <w:gridCol w:w="1233"/>
        <w:gridCol w:w="1245"/>
        <w:gridCol w:w="1246"/>
        <w:gridCol w:w="1244"/>
      </w:tblGrid>
      <w:tr>
        <w:trPr>
          <w:tblHeader w:val="true"/>
          <w:cantSplit w:val="true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 est-ce ?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C’est un.e économiste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C’est un.e sociologue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C’est un.e politologue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Aucun des trois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635</wp:posOffset>
                  </wp:positionV>
                  <wp:extent cx="661670" cy="749300"/>
                  <wp:effectExtent l="0" t="0" r="0" b="0"/>
                  <wp:wrapSquare wrapText="bothSides"/>
                  <wp:docPr id="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13290" t="0" r="44021" b="27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74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Thomas Piketty</w:t>
            </w:r>
            <w:r>
              <w:rPr/>
              <w:t>, né en 1971, travaille sur les inégalités de richesses. Il est l’auteur de « Le capital au XXI</w:t>
            </w:r>
            <w:r>
              <w:rPr>
                <w:rStyle w:val="Policepardfaut"/>
                <w:position w:val="6"/>
                <w:sz w:val="13"/>
              </w:rPr>
              <w:t>e</w:t>
            </w:r>
            <w:r>
              <w:rPr/>
              <w:t xml:space="preserve"> siècle » (2013).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0" w:name="__DdeLink__2401_2403991537"/>
            <w:r>
              <w:rPr>
                <w:rFonts w:eastAsia="OpenSymbol" w:cs="OpenSymbol" w:ascii="OpenSymbol" w:hAnsi="OpenSymbol"/>
              </w:rPr>
              <w:t></w:t>
            </w:r>
            <w:bookmarkEnd w:id="0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1" w:name="__DdeLink__2630_3393266613"/>
            <w:r>
              <w:rPr>
                <w:rFonts w:eastAsia="OpenSymbol" w:cs="OpenSymbol" w:ascii="OpenSymbol" w:hAnsi="OpenSymbol"/>
              </w:rPr>
              <w:t></w:t>
            </w:r>
            <w:bookmarkEnd w:id="1"/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2576830</wp:posOffset>
                  </wp:positionH>
                  <wp:positionV relativeFrom="paragraph">
                    <wp:posOffset>43180</wp:posOffset>
                  </wp:positionV>
                  <wp:extent cx="659765" cy="791845"/>
                  <wp:effectExtent l="0" t="0" r="0" b="0"/>
                  <wp:wrapSquare wrapText="bothSides"/>
                  <wp:docPr id="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79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John Maynard Keynes</w:t>
            </w:r>
            <w:r>
              <w:rPr/>
              <w:t xml:space="preserve"> (1883-1946) est l’auteur de « Théorie générale de l’emploi, de l’intérêt et de la monnaie » (1936). Ses idées ont inspiré le président Roosevelt pour sa politique du « New deal » qui a permis de surmonter la grande crise de 1929.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2" w:name="__DdeLink__2401_24039915371"/>
            <w:r>
              <w:rPr>
                <w:rFonts w:eastAsia="OpenSymbol" w:cs="OpenSymbol" w:ascii="OpenSymbol" w:hAnsi="OpenSymbol"/>
              </w:rPr>
              <w:t></w:t>
            </w:r>
            <w:bookmarkEnd w:id="2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17145</wp:posOffset>
                  </wp:positionV>
                  <wp:extent cx="858520" cy="684530"/>
                  <wp:effectExtent l="0" t="0" r="0" b="0"/>
                  <wp:wrapSquare wrapText="bothSides"/>
                  <wp:docPr id="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9579" t="0" r="695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Anne Muxel</w:t>
            </w:r>
            <w:r>
              <w:rPr/>
              <w:t xml:space="preserve"> (née en 1956) est l’auteure de « Avoir 20 ans en politique » (2010). Elle s’intéresse notamment à la transmission intergénérationnelle des idéologies.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3" w:name="__DdeLink__2401_24039915372"/>
            <w:r>
              <w:rPr>
                <w:rFonts w:eastAsia="OpenSymbol" w:cs="OpenSymbol" w:ascii="OpenSymbol" w:hAnsi="OpenSymbol"/>
              </w:rPr>
              <w:t></w:t>
            </w:r>
            <w:bookmarkEnd w:id="3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2539365</wp:posOffset>
                  </wp:positionH>
                  <wp:positionV relativeFrom="paragraph">
                    <wp:posOffset>13970</wp:posOffset>
                  </wp:positionV>
                  <wp:extent cx="709295" cy="609600"/>
                  <wp:effectExtent l="0" t="0" r="0" b="0"/>
                  <wp:wrapSquare wrapText="bothSides"/>
                  <wp:docPr id="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4583" t="8610" r="31795" b="55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Adam Smith</w:t>
            </w:r>
            <w:r>
              <w:rPr/>
              <w:t xml:space="preserve"> (1723-1790) a écrit « La richesse des nations » (1776), et il est le premier théoricien du libre-échange.</w:t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4" w:name="__DdeLink__2401_240399153721"/>
            <w:r>
              <w:rPr>
                <w:rFonts w:eastAsia="OpenSymbol" w:cs="OpenSymbol" w:ascii="OpenSymbol" w:hAnsi="OpenSymbol"/>
              </w:rPr>
              <w:t></w:t>
            </w:r>
            <w:bookmarkEnd w:id="4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20320</wp:posOffset>
                  </wp:positionV>
                  <wp:extent cx="735965" cy="831215"/>
                  <wp:effectExtent l="0" t="0" r="0" b="0"/>
                  <wp:wrapSquare wrapText="bothSides"/>
                  <wp:docPr id="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7513" r="0" b="5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831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Esther Duflo</w:t>
            </w:r>
            <w:r>
              <w:rPr/>
              <w:t xml:space="preserve"> (née en 1972) enseigne au Collège de France et au Massachussets Institute of Technologye (MIT). Elle travaille sur les inégalités internationales et les questions de développement.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5" w:name="__DdeLink__2401_2403991537211"/>
            <w:r>
              <w:rPr>
                <w:rFonts w:eastAsia="OpenSymbol" w:cs="OpenSymbol" w:ascii="OpenSymbol" w:hAnsi="OpenSymbol"/>
              </w:rPr>
              <w:t></w:t>
            </w:r>
            <w:bookmarkEnd w:id="5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posOffset>2487295</wp:posOffset>
                  </wp:positionH>
                  <wp:positionV relativeFrom="paragraph">
                    <wp:posOffset>23495</wp:posOffset>
                  </wp:positionV>
                  <wp:extent cx="731520" cy="689610"/>
                  <wp:effectExtent l="0" t="0" r="0" b="0"/>
                  <wp:wrapSquare wrapText="bothSides"/>
                  <wp:docPr id="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5800" r="0" b="12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8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Howard Becker</w:t>
            </w:r>
            <w:r>
              <w:rPr/>
              <w:t xml:space="preserve"> (né en 1928), auteur de « Outsiders » (1963), s’est intéressé aux origines de la déviance et de l’exclusion.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6" w:name="__DdeLink__2401_24039915372111"/>
            <w:r>
              <w:rPr>
                <w:rFonts w:eastAsia="OpenSymbol" w:cs="OpenSymbol" w:ascii="OpenSymbol" w:hAnsi="OpenSymbol"/>
              </w:rPr>
              <w:t></w:t>
            </w:r>
            <w:bookmarkEnd w:id="6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635</wp:posOffset>
                  </wp:positionV>
                  <wp:extent cx="1083310" cy="720090"/>
                  <wp:effectExtent l="0" t="0" r="0" b="0"/>
                  <wp:wrapSquare wrapText="bothSides"/>
                  <wp:docPr id="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7181" t="0" r="3010" b="13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 xml:space="preserve">Monique et Michel Pinçon-Charlot </w:t>
            </w:r>
            <w:r>
              <w:rPr/>
              <w:t>(nés en 1946 et 1942) sont chercheurs au CNRS et travaillent ensemble sur la culture e la grande bourgeoisie.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7" w:name="__DdeLink__2401_240399153721111"/>
            <w:r>
              <w:rPr>
                <w:rFonts w:eastAsia="OpenSymbol" w:cs="OpenSymbol" w:ascii="OpenSymbol" w:hAnsi="OpenSymbol"/>
              </w:rPr>
              <w:t></w:t>
            </w:r>
            <w:bookmarkEnd w:id="7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6350</wp:posOffset>
                  </wp:positionV>
                  <wp:extent cx="641350" cy="720090"/>
                  <wp:effectExtent l="0" t="0" r="0" b="0"/>
                  <wp:wrapSquare wrapText="bothSides"/>
                  <wp:docPr id="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5000" t="3436" r="38887" b="35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Abraham Lincoln</w:t>
            </w:r>
            <w:r>
              <w:rPr/>
              <w:t xml:space="preserve"> (1809-1865) fut le 16</w:t>
            </w:r>
            <w:r>
              <w:rPr>
                <w:rStyle w:val="Policepardfaut"/>
                <w:position w:val="6"/>
                <w:sz w:val="13"/>
              </w:rPr>
              <w:t>e</w:t>
            </w:r>
            <w:r>
              <w:rPr/>
              <w:t xml:space="preserve"> président des Etats-Unis. Dans son célèbre « Discours de Gettysburg » (1863), il définit la démocratie comme « le gouvernement du peuple, par le peuple, pour le peuple 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8" w:name="__DdeLink__2401_240399153721112"/>
            <w:r>
              <w:rPr>
                <w:rFonts w:eastAsia="OpenSymbol" w:cs="OpenSymbol" w:ascii="OpenSymbol" w:hAnsi="OpenSymbol"/>
              </w:rPr>
              <w:t></w:t>
            </w:r>
            <w:bookmarkEnd w:id="8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20955</wp:posOffset>
                  </wp:positionV>
                  <wp:extent cx="662940" cy="701040"/>
                  <wp:effectExtent l="0" t="0" r="0" b="0"/>
                  <wp:wrapSquare wrapText="bothSides"/>
                  <wp:docPr id="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0" t="9460" r="0" b="16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 xml:space="preserve">Pierre Bourdieu </w:t>
            </w:r>
            <w:r>
              <w:rPr/>
              <w:t>(1930-2002), auteur de nombreux ouvrages, s’est notamment intéressé aux rapports de domination entre les classes sociales.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9" w:name="__DdeLink__2401_240399153721114"/>
            <w:bookmarkStart w:id="10" w:name="__DdeLink__4727_3390563642"/>
            <w:r>
              <w:rPr>
                <w:rFonts w:eastAsia="OpenSymbol" w:cs="OpenSymbol" w:ascii="OpenSymbol" w:hAnsi="OpenSymbol"/>
              </w:rPr>
              <w:t></w:t>
            </w:r>
            <w:bookmarkEnd w:id="9"/>
            <w:bookmarkEnd w:id="10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31115</wp:posOffset>
                  </wp:positionV>
                  <wp:extent cx="805180" cy="831215"/>
                  <wp:effectExtent l="0" t="0" r="0" b="0"/>
                  <wp:wrapSquare wrapText="bothSides"/>
                  <wp:docPr id="1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1865" t="4698" r="6205" b="27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831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Margaret Mead</w:t>
            </w:r>
            <w:r>
              <w:rPr/>
              <w:t xml:space="preserve"> (1901-1978) est notamment célèbre pour « Mœurs et sexualité en Océanie » (1963). Elle s’est intéressée aux comportements et à la culture des peuples originels des îles du Pacifique.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11" w:name="__DdeLink__2401_2403991537211131"/>
            <w:r>
              <w:rPr>
                <w:rFonts w:eastAsia="OpenSymbol" w:cs="OpenSymbol" w:ascii="OpenSymbol" w:hAnsi="OpenSymbol"/>
              </w:rPr>
              <w:t></w:t>
            </w:r>
            <w:bookmarkEnd w:id="11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</w:tbl>
    <w:p>
      <w:pPr>
        <w:pStyle w:val="Titre1user"/>
        <w:tabs>
          <w:tab w:val="clear" w:pos="709"/>
          <w:tab w:val="left" w:pos="0" w:leader="none"/>
        </w:tabs>
        <w:ind w:hanging="0" w:left="0"/>
        <w:rPr/>
      </w:pPr>
      <w:r>
        <w:rPr/>
        <w:t xml:space="preserve">EVALUATION N°1 : Le travail des économistes, des sociologues et des politologues </w:t>
      </w:r>
      <w:r>
        <w:rPr>
          <w:rStyle w:val="Policepardfaut"/>
          <w:color w:val="FF3333"/>
        </w:rPr>
        <w:t>CORRIGE</w:t>
      </w:r>
    </w:p>
    <w:p>
      <w:pPr>
        <w:pStyle w:val="Retrait1"/>
        <w:rPr/>
      </w:pPr>
      <w:r>
        <w:rPr/>
        <w:t>QCM (1 seule réponse possible à chaque ligne)</w:t>
      </w:r>
    </w:p>
    <w:tbl>
      <w:tblPr>
        <w:tblW w:w="10200" w:type="dxa"/>
        <w:jc w:val="lef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32"/>
        <w:gridCol w:w="1233"/>
        <w:gridCol w:w="1245"/>
        <w:gridCol w:w="1246"/>
        <w:gridCol w:w="1244"/>
      </w:tblGrid>
      <w:tr>
        <w:trPr>
          <w:tblHeader w:val="true"/>
          <w:cantSplit w:val="true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 est-ce ?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C’est un.e économiste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C’est un.e sociologue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C’est un.e politologue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Aucun des trois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635</wp:posOffset>
                  </wp:positionV>
                  <wp:extent cx="661670" cy="749300"/>
                  <wp:effectExtent l="0" t="0" r="0" b="0"/>
                  <wp:wrapSquare wrapText="bothSides"/>
                  <wp:docPr id="11" name="images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s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3290" t="0" r="44021" b="27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74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Thomas Piketty</w:t>
            </w:r>
            <w:r>
              <w:rPr/>
              <w:t>, né en 1971,</w:t>
            </w:r>
            <w:r>
              <w:rPr>
                <w:rStyle w:val="Policepardfaut"/>
                <w:color w:val="FF3333"/>
                <w:u w:val="single"/>
              </w:rPr>
              <w:t xml:space="preserve"> travaille sur les inégalités de richesses</w:t>
            </w:r>
            <w:r>
              <w:rPr/>
              <w:t>. Il est l’auteur de « Le capital au XXI</w:t>
            </w:r>
            <w:r>
              <w:rPr>
                <w:rStyle w:val="Policepardfaut"/>
                <w:position w:val="6"/>
                <w:sz w:val="13"/>
              </w:rPr>
              <w:t>e</w:t>
            </w:r>
            <w:r>
              <w:rPr/>
              <w:t xml:space="preserve"> siècle » (2013).</w:t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  <w:color w:val="FF3333"/>
              </w:rPr>
            </w:pPr>
            <w:bookmarkStart w:id="12" w:name="__DdeLink__2401_24039915373"/>
            <w:r>
              <w:rPr>
                <w:rFonts w:eastAsia="OpenSymbol" w:cs="OpenSymbol" w:ascii="OpenSymbol" w:hAnsi="OpenSymbol"/>
                <w:color w:val="FF3333"/>
              </w:rPr>
              <w:t></w:t>
            </w:r>
            <w:bookmarkEnd w:id="12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13" w:name="__DdeLink__2630_33932666131"/>
            <w:r>
              <w:rPr>
                <w:rFonts w:eastAsia="OpenSymbol" w:cs="OpenSymbol" w:ascii="OpenSymbol" w:hAnsi="OpenSymbol"/>
              </w:rPr>
              <w:t></w:t>
            </w:r>
            <w:bookmarkEnd w:id="13"/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posOffset>2576830</wp:posOffset>
                  </wp:positionH>
                  <wp:positionV relativeFrom="paragraph">
                    <wp:posOffset>43180</wp:posOffset>
                  </wp:positionV>
                  <wp:extent cx="659765" cy="791845"/>
                  <wp:effectExtent l="0" t="0" r="0" b="0"/>
                  <wp:wrapSquare wrapText="bothSides"/>
                  <wp:docPr id="12" name="images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s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79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John Maynard Keynes</w:t>
            </w:r>
            <w:r>
              <w:rPr/>
              <w:t xml:space="preserve"> (1883-1946) est l’auteur de « </w:t>
            </w:r>
            <w:r>
              <w:rPr>
                <w:rStyle w:val="Policepardfaut"/>
                <w:color w:val="FF3333"/>
                <w:u w:val="single"/>
              </w:rPr>
              <w:t>Théorie générale de l’emploi, de l’intérêt et de la monnaie</w:t>
            </w:r>
            <w:r>
              <w:rPr/>
              <w:t> » (1936). Ses idées ont inspiré le président Roosevelt pour sa politique du « New deal » qui a permis de surmonter la grande crise de 1929.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  <w:color w:val="FF3333"/>
              </w:rPr>
            </w:pPr>
            <w:bookmarkStart w:id="14" w:name="__DdeLink__2401_240399153711"/>
            <w:r>
              <w:rPr>
                <w:rFonts w:eastAsia="OpenSymbol" w:cs="OpenSymbol" w:ascii="OpenSymbol" w:hAnsi="OpenSymbol"/>
                <w:color w:val="FF3333"/>
              </w:rPr>
              <w:t></w:t>
            </w:r>
            <w:bookmarkEnd w:id="14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17145</wp:posOffset>
                  </wp:positionV>
                  <wp:extent cx="858520" cy="684530"/>
                  <wp:effectExtent l="0" t="0" r="0" b="0"/>
                  <wp:wrapSquare wrapText="bothSides"/>
                  <wp:docPr id="13" name="images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s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9579" t="0" r="695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Anne Muxel</w:t>
            </w:r>
            <w:r>
              <w:rPr/>
              <w:t xml:space="preserve"> (née en 1956) est l’auteure de « Avoir 20 ans en politique » (2010). Elle s’intéresse notamment à la </w:t>
            </w:r>
            <w:r>
              <w:rPr>
                <w:rStyle w:val="Policepardfaut"/>
                <w:color w:val="FF3333"/>
                <w:u w:val="single"/>
              </w:rPr>
              <w:t>transmission intergénérationnelle des idéologies</w:t>
            </w:r>
            <w:r>
              <w:rPr/>
              <w:t>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15" w:name="__DdeLink__2401_240399153722"/>
            <w:r>
              <w:rPr>
                <w:rFonts w:eastAsia="OpenSymbol" w:cs="OpenSymbol" w:ascii="OpenSymbol" w:hAnsi="OpenSymbol"/>
              </w:rPr>
              <w:t></w:t>
            </w:r>
            <w:bookmarkEnd w:id="15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  <w:color w:val="FF3333"/>
              </w:rPr>
            </w:pPr>
            <w:r>
              <w:rPr>
                <w:rFonts w:eastAsia="OpenSymbol" w:cs="OpenSymbol" w:ascii="OpenSymbol" w:hAnsi="OpenSymbol"/>
                <w:color w:val="FF3333"/>
              </w:rPr>
              <w:t>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posOffset>2539365</wp:posOffset>
                  </wp:positionH>
                  <wp:positionV relativeFrom="paragraph">
                    <wp:posOffset>13970</wp:posOffset>
                  </wp:positionV>
                  <wp:extent cx="709295" cy="609600"/>
                  <wp:effectExtent l="0" t="0" r="0" b="0"/>
                  <wp:wrapSquare wrapText="bothSides"/>
                  <wp:docPr id="14" name="images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s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14583" t="8610" r="31795" b="55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Adam Smith</w:t>
            </w:r>
            <w:r>
              <w:rPr/>
              <w:t xml:space="preserve"> (1723-1790) a écrit « La richesse des nations » (1776), et il est le premier </w:t>
            </w:r>
            <w:r>
              <w:rPr>
                <w:rStyle w:val="Policepardfaut"/>
                <w:color w:val="FF3333"/>
                <w:u w:val="single"/>
              </w:rPr>
              <w:t>théoricien du libre-échange</w:t>
            </w:r>
            <w:r>
              <w:rPr/>
              <w:t>.</w:t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  <w:color w:val="FF3333"/>
              </w:rPr>
            </w:pPr>
            <w:bookmarkStart w:id="16" w:name="__DdeLink__2401_2403991537212"/>
            <w:r>
              <w:rPr>
                <w:rFonts w:eastAsia="OpenSymbol" w:cs="OpenSymbol" w:ascii="OpenSymbol" w:hAnsi="OpenSymbol"/>
                <w:color w:val="FF3333"/>
              </w:rPr>
              <w:t></w:t>
            </w:r>
            <w:bookmarkEnd w:id="16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20320</wp:posOffset>
                  </wp:positionV>
                  <wp:extent cx="735965" cy="831215"/>
                  <wp:effectExtent l="0" t="0" r="0" b="0"/>
                  <wp:wrapSquare wrapText="bothSides"/>
                  <wp:docPr id="15" name="images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s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0" t="7513" r="0" b="5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831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Esther Duflo</w:t>
            </w:r>
            <w:r>
              <w:rPr/>
              <w:t xml:space="preserve"> (née en 1972) enseigne au Collège de France et au Massachussets Institute of Technologye (MIT). Elle </w:t>
            </w:r>
            <w:r>
              <w:rPr>
                <w:rStyle w:val="Policepardfaut"/>
                <w:color w:val="FF3333"/>
                <w:u w:val="single"/>
              </w:rPr>
              <w:t>travaille sur les inégalités internationales</w:t>
            </w:r>
            <w:r>
              <w:rPr/>
              <w:t xml:space="preserve"> et les questions de développement.</w:t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  <w:color w:val="FF3333"/>
              </w:rPr>
            </w:pPr>
            <w:bookmarkStart w:id="17" w:name="__DdeLink__2401_24039915372112"/>
            <w:r>
              <w:rPr>
                <w:rFonts w:eastAsia="OpenSymbol" w:cs="OpenSymbol" w:ascii="OpenSymbol" w:hAnsi="OpenSymbol"/>
                <w:color w:val="FF3333"/>
              </w:rPr>
              <w:t></w:t>
            </w:r>
            <w:bookmarkEnd w:id="17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posOffset>2487295</wp:posOffset>
                  </wp:positionH>
                  <wp:positionV relativeFrom="paragraph">
                    <wp:posOffset>23495</wp:posOffset>
                  </wp:positionV>
                  <wp:extent cx="731520" cy="689610"/>
                  <wp:effectExtent l="0" t="0" r="0" b="0"/>
                  <wp:wrapSquare wrapText="bothSides"/>
                  <wp:docPr id="16" name="image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0" t="5800" r="0" b="12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8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Howard Becker</w:t>
            </w:r>
            <w:r>
              <w:rPr/>
              <w:t xml:space="preserve"> (né en 1928), auteur de « Outsiders » (1963), s’est intéressé aux </w:t>
            </w:r>
            <w:r>
              <w:rPr>
                <w:rStyle w:val="Policepardfaut"/>
                <w:color w:val="FF3333"/>
                <w:u w:val="single"/>
              </w:rPr>
              <w:t>origines de la déviance et de l’exclusion</w:t>
            </w:r>
            <w:r>
              <w:rPr/>
              <w:t>.</w:t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18" w:name="__DdeLink__2401_240399153721113"/>
            <w:r>
              <w:rPr>
                <w:rFonts w:eastAsia="OpenSymbol" w:cs="OpenSymbol" w:ascii="OpenSymbol" w:hAnsi="OpenSymbol"/>
              </w:rPr>
              <w:t></w:t>
            </w:r>
            <w:bookmarkEnd w:id="18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  <w:color w:val="FF3333"/>
              </w:rPr>
            </w:pPr>
            <w:r>
              <w:rPr>
                <w:rFonts w:eastAsia="OpenSymbol" w:cs="OpenSymbol" w:ascii="OpenSymbol" w:hAnsi="OpenSymbol"/>
                <w:color w:val="FF3333"/>
              </w:rPr>
              <w:t>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635</wp:posOffset>
                  </wp:positionV>
                  <wp:extent cx="1083310" cy="720090"/>
                  <wp:effectExtent l="0" t="0" r="0" b="0"/>
                  <wp:wrapSquare wrapText="bothSides"/>
                  <wp:docPr id="17" name="image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7181" t="0" r="3010" b="13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 xml:space="preserve">Monique et Michel Pinçon-Charlot </w:t>
            </w:r>
            <w:r>
              <w:rPr/>
              <w:t xml:space="preserve">(nés en 1946 et 1942) sont chercheurs au CNRS et </w:t>
            </w:r>
            <w:r>
              <w:rPr>
                <w:rStyle w:val="Policepardfaut"/>
                <w:color w:val="FF3333"/>
                <w:u w:val="single"/>
              </w:rPr>
              <w:t>travaillent ensemble sur la culture e la grande bourgeoisie</w:t>
            </w:r>
            <w:r>
              <w:rPr/>
              <w:t>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19" w:name="__DdeLink__2401_2403991537211111"/>
            <w:r>
              <w:rPr>
                <w:rFonts w:eastAsia="OpenSymbol" w:cs="OpenSymbol" w:ascii="OpenSymbol" w:hAnsi="OpenSymbol"/>
              </w:rPr>
              <w:t></w:t>
            </w:r>
            <w:bookmarkEnd w:id="19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  <w:color w:val="FF3333"/>
              </w:rPr>
            </w:pPr>
            <w:r>
              <w:rPr>
                <w:rFonts w:eastAsia="OpenSymbol" w:cs="OpenSymbol" w:ascii="OpenSymbol" w:hAnsi="OpenSymbol"/>
                <w:color w:val="FF3333"/>
              </w:rPr>
              <w:t>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6350</wp:posOffset>
                  </wp:positionV>
                  <wp:extent cx="641350" cy="720090"/>
                  <wp:effectExtent l="0" t="0" r="0" b="0"/>
                  <wp:wrapSquare wrapText="bothSides"/>
                  <wp:docPr id="18" name="images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s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25000" t="3436" r="38887" b="35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Abraham Lincoln</w:t>
            </w:r>
            <w:r>
              <w:rPr/>
              <w:t xml:space="preserve"> (1809-1865) fut le 16</w:t>
            </w:r>
            <w:r>
              <w:rPr>
                <w:rStyle w:val="Policepardfaut"/>
                <w:position w:val="6"/>
                <w:sz w:val="13"/>
              </w:rPr>
              <w:t>e</w:t>
            </w:r>
            <w:r>
              <w:rPr/>
              <w:t xml:space="preserve"> </w:t>
            </w:r>
            <w:r>
              <w:rPr>
                <w:rStyle w:val="Policepardfaut"/>
                <w:color w:val="FF3333"/>
                <w:u w:val="single"/>
              </w:rPr>
              <w:t>président des Etats-Unis</w:t>
            </w:r>
            <w:r>
              <w:rPr/>
              <w:t>. Dans son célèbre « Discours de Gettysburg » (1863), il définit la démocratie comme « le gouvernement du peuple, par le peuple, pour le peuple 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20" w:name="__DdeLink__2401_2403991537211121"/>
            <w:r>
              <w:rPr>
                <w:rFonts w:eastAsia="OpenSymbol" w:cs="OpenSymbol" w:ascii="OpenSymbol" w:hAnsi="OpenSymbol"/>
              </w:rPr>
              <w:t></w:t>
            </w:r>
            <w:bookmarkEnd w:id="20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  <w:color w:val="FF3333"/>
              </w:rPr>
            </w:pPr>
            <w:r>
              <w:rPr>
                <w:rFonts w:eastAsia="OpenSymbol" w:cs="OpenSymbol" w:ascii="OpenSymbol" w:hAnsi="OpenSymbol"/>
                <w:color w:val="FF3333"/>
              </w:rPr>
              <w:t>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20955</wp:posOffset>
                  </wp:positionV>
                  <wp:extent cx="662940" cy="701040"/>
                  <wp:effectExtent l="0" t="0" r="0" b="0"/>
                  <wp:wrapSquare wrapText="bothSides"/>
                  <wp:docPr id="19" name="images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s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0" t="9460" r="0" b="16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 xml:space="preserve">Pierre Bourdieu </w:t>
            </w:r>
            <w:r>
              <w:rPr/>
              <w:t xml:space="preserve">(1930-2002), auteur de nombreux ouvrages, s’est notamment </w:t>
            </w:r>
            <w:r>
              <w:rPr>
                <w:rStyle w:val="Policepardfaut"/>
                <w:color w:val="FF3333"/>
                <w:u w:val="single"/>
              </w:rPr>
              <w:t>intéressé aux rapports de domination entre les classes sociales</w:t>
            </w:r>
            <w:r>
              <w:rPr/>
              <w:t>.</w:t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21" w:name="__DdeLink__2401_2403991537211141"/>
            <w:bookmarkStart w:id="22" w:name="__DdeLink__4727_33905636421"/>
            <w:r>
              <w:rPr>
                <w:rFonts w:eastAsia="OpenSymbol" w:cs="OpenSymbol" w:ascii="OpenSymbol" w:hAnsi="OpenSymbol"/>
              </w:rPr>
              <w:t></w:t>
            </w:r>
            <w:bookmarkEnd w:id="21"/>
            <w:bookmarkEnd w:id="22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  <w:color w:val="FF3333"/>
              </w:rPr>
            </w:pPr>
            <w:r>
              <w:rPr>
                <w:rFonts w:eastAsia="OpenSymbol" w:cs="OpenSymbol" w:ascii="OpenSymbol" w:hAnsi="OpenSymbol"/>
                <w:color w:val="FF3333"/>
              </w:rPr>
              <w:t>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  <w:tr>
        <w:trPr>
          <w:cantSplit w:val="true"/>
        </w:trPr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31115</wp:posOffset>
                  </wp:positionV>
                  <wp:extent cx="805180" cy="831215"/>
                  <wp:effectExtent l="0" t="0" r="0" b="0"/>
                  <wp:wrapSquare wrapText="bothSides"/>
                  <wp:docPr id="20" name="images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s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11865" t="4698" r="6205" b="27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831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b/>
                <w:bCs/>
              </w:rPr>
              <w:t>Margaret Mead</w:t>
            </w:r>
            <w:r>
              <w:rPr/>
              <w:t xml:space="preserve"> (1901-1978) est notamment célèbre pour « Moeurs et sexualité en Océanie » (1963). Elle s’est </w:t>
            </w:r>
            <w:r>
              <w:rPr>
                <w:rStyle w:val="Policepardfaut"/>
                <w:color w:val="FF3333"/>
                <w:u w:val="single"/>
              </w:rPr>
              <w:t>intéressée aux comportements et à la culture</w:t>
            </w:r>
            <w:r>
              <w:rPr/>
              <w:t xml:space="preserve"> des peuples originels des îles du Pacifique.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bookmarkStart w:id="23" w:name="__DdeLink__2401_24039915372111311"/>
            <w:r>
              <w:rPr>
                <w:rFonts w:eastAsia="OpenSymbol" w:cs="OpenSymbol" w:ascii="OpenSymbol" w:hAnsi="OpenSymbol"/>
              </w:rPr>
              <w:t></w:t>
            </w:r>
            <w:bookmarkEnd w:id="23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  <w:color w:val="FF3333"/>
              </w:rPr>
            </w:pPr>
            <w:r>
              <w:rPr>
                <w:rFonts w:eastAsia="OpenSymbol" w:cs="OpenSymbol" w:ascii="OpenSymbol" w:hAnsi="OpenSymbol"/>
                <w:color w:val="FF3333"/>
              </w:rPr>
              <w:t>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OpenSymbol" w:hAnsi="OpenSymbol" w:eastAsia="OpenSymbol" w:cs="OpenSymbol"/>
              </w:rPr>
            </w:pPr>
            <w:r>
              <w:rPr>
                <w:rFonts w:eastAsia="OpenSymbol" w:cs="OpenSymbol" w:ascii="OpenSymbol" w:hAnsi="OpenSymbol"/>
              </w:rPr>
              <w:t></w:t>
            </w:r>
          </w:p>
        </w:tc>
      </w:tr>
    </w:tbl>
    <w:p>
      <w:pPr>
        <w:pStyle w:val="Titre1user"/>
        <w:tabs>
          <w:tab w:val="clear" w:pos="709"/>
          <w:tab w:val="left" w:pos="0" w:leader="none"/>
        </w:tabs>
        <w:ind w:hanging="0" w:left="0"/>
        <w:rPr>
          <w:sz w:val="24"/>
        </w:rPr>
      </w:pPr>
      <w:r>
        <w:br w:type="page"/>
      </w:r>
      <w:r>
        <w:rPr>
          <w:sz w:val="24"/>
        </w:rPr>
      </w:r>
    </w:p>
    <w:sectPr>
      <w:headerReference w:type="default" r:id="rId22"/>
      <w:footerReference w:type="default" r:id="rId23"/>
      <w:type w:val="nextPage"/>
      <w:pgSz w:w="11905" w:h="16837"/>
      <w:pgMar w:left="850" w:right="850" w:gutter="0" w:header="850" w:top="1416" w:footer="72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tarSymbol">
    <w:altName w:val="Arial Unicode MS"/>
    <w:charset w:val="02"/>
    <w:family w:val="auto"/>
    <w:pitch w:val="default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DejaVu Sans">
    <w:charset w:val="00"/>
    <w:family w:val="swiss"/>
    <w:pitch w:val="variable"/>
  </w:font>
  <w:font w:name="DejaVu Serif">
    <w:charset w:val="00"/>
    <w:family w:val="roman"/>
    <w:pitch w:val="variable"/>
  </w:font>
  <w:font w:name="FreeMono">
    <w:charset w:val="00"/>
    <w:family w:val="modern"/>
    <w:pitch w:val="fixed"/>
  </w:font>
  <w:font w:name="Liberation Mono">
    <w:altName w:val="Courier New"/>
    <w:charset w:val="00"/>
    <w:family w:val="modern"/>
    <w:pitch w:val="fixed"/>
  </w:font>
  <w:font w:name="OpenSymbol">
    <w:altName w:val="Arial Unicode MS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00"/>
      <w:gridCol w:w="3400"/>
      <w:gridCol w:w="3400"/>
    </w:tblGrid>
    <w:tr>
      <w:trPr/>
      <w:tc>
        <w:tcPr>
          <w:tcW w:w="3400" w:type="dxa"/>
          <w:tcBorders/>
        </w:tcPr>
        <w:p>
          <w:pPr>
            <w:pStyle w:val="En-tteuser"/>
            <w:tabs>
              <w:tab w:val="clear" w:pos="5102"/>
              <w:tab w:val="clear" w:pos="10205"/>
              <w:tab w:val="center" w:pos="5102" w:leader="none"/>
              <w:tab w:val="right" w:pos="10205" w:leader="none"/>
            </w:tabs>
            <w:ind w:left="-115"/>
            <w:jc w:val="left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En-tteuser"/>
            <w:jc w:val="center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En-tteuser"/>
            <w:ind w:right="-115"/>
            <w:jc w:val="right"/>
            <w:rPr/>
          </w:pPr>
          <w:r>
            <w:rPr/>
          </w:r>
        </w:p>
      </w:tc>
    </w:tr>
  </w:tbl>
  <w:p>
    <w:pPr>
      <w:pStyle w:val="Pieddepageus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13"/>
      <w:jc w:val="right"/>
      <w:rPr>
        <w:rFonts w:ascii="Arial" w:hAnsi="Arial"/>
        <w:b/>
        <w:bCs/>
        <w:color w:val="FF9900"/>
        <w:sz w:val="16"/>
        <w:szCs w:val="16"/>
      </w:rPr>
    </w:pPr>
    <w:r>
      <w:rPr>
        <w:rFonts w:ascii="Arial" w:hAnsi="Arial"/>
        <w:b/>
        <w:bCs/>
        <w:color w:val="FF9900"/>
        <w:sz w:val="16"/>
        <w:szCs w:val="16"/>
      </w:rPr>
      <w:t xml:space="preserve"> </w:t>
    </w:r>
    <w:r>
      <w:rPr>
        <w:rFonts w:ascii="Arial" w:hAnsi="Arial"/>
        <w:b/>
        <w:bCs/>
        <w:color w:val="FF9900"/>
        <w:sz w:val="16"/>
        <w:szCs w:val="16"/>
      </w:rPr>
      <w:t>Sciences économiques et sociales 2nde – Chapitre 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user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itre2user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Titre3user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Titre4user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Titre5user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Titre6user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Titre7user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pStyle w:val="Titre8user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Titre9user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ascii="Liberation Sans" w:hAnsi="Liberation Sans" w:eastAsia="HG Mincho Light J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shd w:fill="auto" w:val="clear"/>
      <w:vertAlign w:val="baseline"/>
      <w:em w:val="none"/>
      <w:lang w:bidi="fr-FR" w:val="fr-FR" w:eastAsia="zh-CN"/>
    </w:rPr>
  </w:style>
  <w:style w:type="character" w:styleId="Policepardfaut">
    <w:name w:val="Police par défaut"/>
    <w:qFormat/>
    <w:rPr/>
  </w:style>
  <w:style w:type="character" w:styleId="Caractresdenotedebasdepage">
    <w:name w:val="Caractères de note de bas de page"/>
    <w:qFormat/>
    <w:rPr/>
  </w:style>
  <w:style w:type="character" w:styleId="Caractresdenumrotation">
    <w:name w:val="Caractères de numérotation"/>
    <w:qFormat/>
    <w:rPr/>
  </w:style>
  <w:style w:type="character" w:styleId="Puces">
    <w:name w:val="Puces"/>
    <w:qFormat/>
    <w:rPr>
      <w:rFonts w:ascii="StarSymbol;Arial Unicode MS" w:hAnsi="StarSymbol;Arial Unicode MS" w:eastAsia="StarSymbol;Arial Unicode MS" w:cs="StarSymbol;Arial Unicode MS"/>
      <w:sz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Caractresdenotedefin">
    <w:name w:val="Caractères de note de fin"/>
    <w:qFormat/>
    <w:rPr/>
  </w:style>
  <w:style w:type="character" w:styleId="WW8Num2z0">
    <w:name w:val="WW8Num2z0"/>
    <w:qFormat/>
    <w:rPr>
      <w:rFonts w:ascii="Times New Roman" w:hAnsi="Times New Roman" w:eastAsia="HG Mincho Light J" w:cs="Times New Roman"/>
    </w:rPr>
  </w:style>
  <w:style w:type="character" w:styleId="WW8Num2z1">
    <w:name w:val="WW8Num2z1"/>
    <w:qFormat/>
    <w:rPr>
      <w:rFonts w:ascii="Courier New" w:hAnsi="Courier New" w:eastAsia="Courier New" w:cs="Courier New"/>
    </w:rPr>
  </w:style>
  <w:style w:type="character" w:styleId="WW8Num2z2">
    <w:name w:val="WW8Num2z2"/>
    <w:qFormat/>
    <w:rPr>
      <w:rFonts w:ascii="Wingdings" w:hAnsi="Wingdings" w:eastAsia="Wingdings" w:cs="Wingdings"/>
    </w:rPr>
  </w:style>
  <w:style w:type="character" w:styleId="WW8Num2z3">
    <w:name w:val="WW8Num2z3"/>
    <w:qFormat/>
    <w:rPr>
      <w:rFonts w:ascii="Symbol" w:hAnsi="Symbol" w:eastAsia="Symbol" w:cs="Symbol"/>
    </w:rPr>
  </w:style>
  <w:style w:type="character" w:styleId="Normal1">
    <w:name w:val="Normal1"/>
    <w:qFormat/>
    <w:rPr>
      <w:sz w:val="20"/>
      <w:lang w:val="fr-FR"/>
    </w:rPr>
  </w:style>
  <w:style w:type="character" w:styleId="WW8Num40z0">
    <w:name w:val="WW8Num40z0"/>
    <w:qFormat/>
    <w:rPr>
      <w:rFonts w:ascii="Symbol" w:hAnsi="Symbol" w:eastAsia="Symbol" w:cs="Symbol"/>
    </w:rPr>
  </w:style>
  <w:style w:type="character" w:styleId="WW8Num40z1">
    <w:name w:val="WW8Num40z1"/>
    <w:qFormat/>
    <w:rPr>
      <w:rFonts w:ascii="Wingdings" w:hAnsi="Wingdings" w:eastAsia="Wingdings" w:cs="Wingdings"/>
    </w:rPr>
  </w:style>
  <w:style w:type="character" w:styleId="WW8Num40z3">
    <w:name w:val="WW8Num40z3"/>
    <w:qFormat/>
    <w:rPr>
      <w:rFonts w:ascii="Symbol" w:hAnsi="Symbol" w:eastAsia="Symbol" w:cs="Symbol"/>
    </w:rPr>
  </w:style>
  <w:style w:type="character" w:styleId="WW8Num40z4">
    <w:name w:val="WW8Num40z4"/>
    <w:qFormat/>
    <w:rPr>
      <w:rFonts w:ascii="Courier New" w:hAnsi="Courier New" w:eastAsia="Courier New" w:cs="Courier New"/>
    </w:rPr>
  </w:style>
  <w:style w:type="character" w:styleId="WW8Num40z5">
    <w:name w:val="WW8Num40z5"/>
    <w:qFormat/>
    <w:rPr>
      <w:rFonts w:ascii="Wingdings" w:hAnsi="Wingdings" w:eastAsia="Wingdings" w:cs="Wingdings"/>
    </w:rPr>
  </w:style>
  <w:style w:type="character" w:styleId="WW8Num40z6">
    <w:name w:val="WW8Num40z6"/>
    <w:qFormat/>
    <w:rPr>
      <w:rFonts w:ascii="Symbol" w:hAnsi="Symbol" w:eastAsia="Symbol" w:cs="Symbol"/>
    </w:rPr>
  </w:style>
  <w:style w:type="character" w:styleId="WW8Num40z7">
    <w:name w:val="WW8Num40z7"/>
    <w:qFormat/>
    <w:rPr>
      <w:rFonts w:ascii="Courier New" w:hAnsi="Courier New" w:eastAsia="Courier New" w:cs="Courier New"/>
    </w:rPr>
  </w:style>
  <w:style w:type="character" w:styleId="WW8Num40z8">
    <w:name w:val="WW8Num40z8"/>
    <w:qFormat/>
    <w:rPr>
      <w:rFonts w:ascii="Wingdings" w:hAnsi="Wingdings" w:eastAsia="Wingdings" w:cs="Wingdings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WWCharLFO2LVL1">
    <w:name w:val="WW_CharLFO2LVL1"/>
    <w:qFormat/>
    <w:rPr>
      <w:rFonts w:ascii="Times New Roman" w:hAnsi="Times New Roman" w:eastAsia="HG Mincho Light J" w:cs="Times New Roman"/>
    </w:rPr>
  </w:style>
  <w:style w:type="character" w:styleId="WWCharLFO2LVL2">
    <w:name w:val="WW_CharLFO2LVL2"/>
    <w:qFormat/>
    <w:rPr>
      <w:rFonts w:ascii="Courier New" w:hAnsi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/>
    </w:rPr>
  </w:style>
  <w:style w:type="character" w:styleId="WWCharLFO2LVL9">
    <w:name w:val="WW_CharLFO2LVL9"/>
    <w:qFormat/>
    <w:rPr>
      <w:rFonts w:ascii="Wingdings" w:hAnsi="Wingdings"/>
    </w:rPr>
  </w:style>
  <w:style w:type="paragraph" w:styleId="Titre1user">
    <w:name w:val="Titre 1 (user)"/>
    <w:basedOn w:val="Titreuser"/>
    <w:next w:val="Normal"/>
    <w:qFormat/>
    <w:pPr>
      <w:numPr>
        <w:ilvl w:val="0"/>
        <w:numId w:val="1"/>
      </w:numPr>
      <w:shd w:fill="FAA61A" w:val="clear"/>
      <w:suppressAutoHyphens w:val="true"/>
      <w:spacing w:lineRule="auto" w:line="360" w:before="0" w:after="0"/>
      <w:jc w:val="center"/>
      <w:outlineLvl w:val="0"/>
    </w:pPr>
    <w:rPr>
      <w:rFonts w:ascii="Liberation Sans" w:hAnsi="Liberation Sans" w:eastAsia="Liberation Sans" w:cs="Liberation Sans"/>
      <w:b/>
      <w:color w:val="FFFFFF"/>
      <w:sz w:val="20"/>
    </w:rPr>
  </w:style>
  <w:style w:type="paragraph" w:styleId="Titre2user">
    <w:name w:val="Titre 2 (user)"/>
    <w:basedOn w:val="Titreuser"/>
    <w:next w:val="Normal"/>
    <w:qFormat/>
    <w:pPr>
      <w:numPr>
        <w:ilvl w:val="1"/>
        <w:numId w:val="1"/>
      </w:numPr>
      <w:suppressAutoHyphens w:val="true"/>
      <w:spacing w:before="0" w:after="142"/>
      <w:jc w:val="left"/>
      <w:outlineLvl w:val="1"/>
    </w:pPr>
    <w:rPr>
      <w:rFonts w:ascii="DejaVu Sans" w:hAnsi="DejaVu Sans" w:eastAsia="DejaVu Sans" w:cs="DejaVu Sans"/>
      <w:b/>
      <w:smallCaps/>
      <w:color w:val="F58220"/>
      <w:sz w:val="26"/>
      <w:u w:val="single"/>
    </w:rPr>
  </w:style>
  <w:style w:type="paragraph" w:styleId="Titre3user">
    <w:name w:val="Titre 3 (user)"/>
    <w:basedOn w:val="Titreuser"/>
    <w:next w:val="Normal"/>
    <w:qFormat/>
    <w:pPr>
      <w:numPr>
        <w:ilvl w:val="2"/>
        <w:numId w:val="1"/>
      </w:numPr>
      <w:tabs>
        <w:tab w:val="clear" w:pos="709"/>
      </w:tabs>
      <w:suppressAutoHyphens w:val="true"/>
      <w:spacing w:before="0" w:after="142"/>
      <w:ind w:left="1134"/>
      <w:jc w:val="left"/>
      <w:outlineLvl w:val="2"/>
    </w:pPr>
    <w:rPr>
      <w:rFonts w:ascii="DejaVu Sans" w:hAnsi="DejaVu Sans" w:eastAsia="DejaVu Sans" w:cs="DejaVu Sans"/>
      <w:b/>
      <w:color w:val="F58220"/>
      <w:sz w:val="32"/>
      <w:u w:val="single"/>
    </w:rPr>
  </w:style>
  <w:style w:type="paragraph" w:styleId="Titre4user">
    <w:name w:val="Titre 4 (user)"/>
    <w:basedOn w:val="Titreuser"/>
    <w:next w:val="Normal"/>
    <w:qFormat/>
    <w:pPr>
      <w:numPr>
        <w:ilvl w:val="3"/>
        <w:numId w:val="1"/>
      </w:numPr>
      <w:suppressAutoHyphens w:val="true"/>
      <w:spacing w:before="0" w:after="0"/>
      <w:ind w:firstLine="1417"/>
      <w:jc w:val="left"/>
      <w:outlineLvl w:val="3"/>
    </w:pPr>
    <w:rPr>
      <w:rFonts w:ascii="DejaVu Serif" w:hAnsi="DejaVu Serif" w:eastAsia="DejaVu Serif" w:cs="DejaVu Serif"/>
      <w:b/>
      <w:i/>
      <w:color w:val="000000"/>
      <w:sz w:val="24"/>
      <w:u w:val="single" w:color="800000"/>
    </w:rPr>
  </w:style>
  <w:style w:type="paragraph" w:styleId="Titre5user">
    <w:name w:val="Titre 5 (user)"/>
    <w:basedOn w:val="Titreuser"/>
    <w:next w:val="Normal"/>
    <w:qFormat/>
    <w:pPr>
      <w:numPr>
        <w:ilvl w:val="4"/>
        <w:numId w:val="1"/>
      </w:numPr>
      <w:suppressAutoHyphens w:val="true"/>
      <w:spacing w:before="0" w:after="0"/>
      <w:outlineLvl w:val="4"/>
    </w:pPr>
    <w:rPr>
      <w:color w:val="800000"/>
      <w:sz w:val="24"/>
      <w:u w:val="single"/>
    </w:rPr>
  </w:style>
  <w:style w:type="paragraph" w:styleId="Titre6user">
    <w:name w:val="Titre 6 (user)"/>
    <w:basedOn w:val="Titreuser"/>
    <w:next w:val="BodyText"/>
    <w:qFormat/>
    <w:pPr>
      <w:numPr>
        <w:ilvl w:val="5"/>
        <w:numId w:val="1"/>
      </w:numPr>
      <w:suppressAutoHyphens w:val="true"/>
      <w:outlineLvl w:val="5"/>
    </w:pPr>
    <w:rPr>
      <w:b/>
      <w:i/>
      <w:color w:val="800000"/>
      <w:sz w:val="21"/>
    </w:rPr>
  </w:style>
  <w:style w:type="paragraph" w:styleId="Titre7user">
    <w:name w:val="Titre 7 (user)"/>
    <w:basedOn w:val="Titreuser"/>
    <w:next w:val="BodyText"/>
    <w:qFormat/>
    <w:pPr>
      <w:numPr>
        <w:ilvl w:val="6"/>
        <w:numId w:val="1"/>
      </w:numPr>
      <w:suppressAutoHyphens w:val="true"/>
      <w:outlineLvl w:val="6"/>
    </w:pPr>
    <w:rPr>
      <w:b/>
      <w:sz w:val="21"/>
    </w:rPr>
  </w:style>
  <w:style w:type="paragraph" w:styleId="Titre8user">
    <w:name w:val="Titre 8 (user)"/>
    <w:basedOn w:val="Titreuser"/>
    <w:next w:val="BodyText"/>
    <w:qFormat/>
    <w:pPr>
      <w:numPr>
        <w:ilvl w:val="7"/>
        <w:numId w:val="1"/>
      </w:numPr>
      <w:suppressAutoHyphens w:val="true"/>
      <w:outlineLvl w:val="7"/>
    </w:pPr>
    <w:rPr>
      <w:b/>
      <w:sz w:val="21"/>
    </w:rPr>
  </w:style>
  <w:style w:type="paragraph" w:styleId="Titre9user">
    <w:name w:val="Titre 9 (user)"/>
    <w:basedOn w:val="Titreuser"/>
    <w:next w:val="BodyText"/>
    <w:qFormat/>
    <w:pPr>
      <w:numPr>
        <w:ilvl w:val="8"/>
        <w:numId w:val="1"/>
      </w:numPr>
      <w:suppressAutoHyphens w:val="true"/>
      <w:outlineLvl w:val="8"/>
    </w:pPr>
    <w:rPr>
      <w:b/>
      <w:sz w:val="21"/>
    </w:rPr>
  </w:style>
  <w:style w:type="paragraph" w:styleId="Normal2">
    <w:name w:val="Normal2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erif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BodyText">
    <w:name w:val="Body Text"/>
    <w:basedOn w:val="Normal"/>
    <w:pPr>
      <w:suppressAutoHyphens w:val="true"/>
    </w:pPr>
    <w:rPr>
      <w:sz w:val="20"/>
    </w:rPr>
  </w:style>
  <w:style w:type="paragraph" w:styleId="BodyTextFirstIndent">
    <w:name w:val="Body Text First Indent"/>
    <w:basedOn w:val="Normal"/>
    <w:pPr>
      <w:suppressAutoHyphens w:val="true"/>
      <w:ind w:firstLine="340"/>
    </w:pPr>
    <w:rPr/>
  </w:style>
  <w:style w:type="paragraph" w:styleId="BodyTextIndent">
    <w:name w:val="Body Text Indent"/>
    <w:basedOn w:val="BodyText"/>
    <w:pPr>
      <w:tabs>
        <w:tab w:val="clear" w:pos="709"/>
      </w:tabs>
      <w:suppressAutoHyphens w:val="true"/>
      <w:ind w:left="283"/>
    </w:pPr>
    <w:rPr/>
  </w:style>
  <w:style w:type="paragraph" w:styleId="Signature">
    <w:name w:val="Signature"/>
    <w:basedOn w:val="Normal"/>
    <w:pPr>
      <w:suppressLineNumbers/>
      <w:suppressAutoHyphens w:val="true"/>
    </w:pPr>
    <w:rPr/>
  </w:style>
  <w:style w:type="paragraph" w:styleId="CommentText">
    <w:name w:val="annotation text"/>
    <w:basedOn w:val="BodyText"/>
    <w:pPr>
      <w:suppressAutoHyphens w:val="true"/>
      <w:jc w:val="left"/>
    </w:pPr>
    <w:rPr>
      <w:i/>
      <w:color w:val="FF9966"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itre10">
    <w:name w:val="Titre 10"/>
    <w:basedOn w:val="Titreuser"/>
    <w:next w:val="BodyText"/>
    <w:qFormat/>
    <w:pPr>
      <w:suppressAutoHyphens w:val="true"/>
    </w:pPr>
    <w:rPr>
      <w:b/>
      <w:sz w:val="21"/>
    </w:rPr>
  </w:style>
  <w:style w:type="paragraph" w:styleId="Listeuser">
    <w:name w:val="Liste (user)"/>
    <w:basedOn w:val="BodyText"/>
    <w:qFormat/>
    <w:pPr>
      <w:suppressAutoHyphens w:val="true"/>
    </w:pPr>
    <w:rPr>
      <w:rFonts w:cs="Tahoma"/>
    </w:rPr>
  </w:style>
  <w:style w:type="paragraph" w:styleId="Contenudetableau">
    <w:name w:val="Contenu de tableau"/>
    <w:basedOn w:val="BodyText"/>
    <w:qFormat/>
    <w:pPr>
      <w:suppressAutoHyphens w:val="true"/>
    </w:pPr>
    <w:rPr>
      <w:rFonts w:eastAsia="Liberation Sans" w:cs="Liberation Sans"/>
    </w:rPr>
  </w:style>
  <w:style w:type="paragraph" w:styleId="Titredetableau">
    <w:name w:val="Titre de tableau"/>
    <w:basedOn w:val="Contenudetableau"/>
    <w:qFormat/>
    <w:pPr>
      <w:suppressAutoHyphens w:val="true"/>
      <w:jc w:val="center"/>
    </w:pPr>
    <w:rPr>
      <w:b/>
    </w:rPr>
  </w:style>
  <w:style w:type="paragraph" w:styleId="Lgendeuser">
    <w:name w:val="Légende (user)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Texte">
    <w:name w:val="Texte"/>
    <w:basedOn w:val="Lgendeuser"/>
    <w:qFormat/>
    <w:pPr>
      <w:suppressAutoHyphens w:val="true"/>
    </w:pPr>
    <w:rPr/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TOC1">
    <w:name w:val="toc 1"/>
    <w:basedOn w:val="Index"/>
    <w:pPr>
      <w:tabs>
        <w:tab w:val="clear" w:pos="709"/>
        <w:tab w:val="right" w:pos="10206" w:leader="dot"/>
      </w:tabs>
      <w:suppressAutoHyphens w:val="true"/>
    </w:pPr>
    <w:rPr/>
  </w:style>
  <w:style w:type="paragraph" w:styleId="Titreuser">
    <w:name w:val="Titre (user)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</w:rPr>
  </w:style>
  <w:style w:type="paragraph" w:styleId="Sous-titreuser">
    <w:name w:val="Sous-titre (user)"/>
    <w:basedOn w:val="Titre"/>
    <w:next w:val="BodyText"/>
    <w:qFormat/>
    <w:pPr>
      <w:suppressAutoHyphens w:val="true"/>
      <w:jc w:val="center"/>
    </w:pPr>
    <w:rPr>
      <w:i/>
      <w:iCs/>
    </w:rPr>
  </w:style>
  <w:style w:type="paragraph" w:styleId="Blocdecitation">
    <w:name w:val="Bloc de citation"/>
    <w:basedOn w:val="Normal"/>
    <w:qFormat/>
    <w:pPr>
      <w:pBdr>
        <w:top w:val="single" w:sz="2" w:space="1" w:color="000080"/>
        <w:left w:val="single" w:sz="2" w:space="1" w:color="000080"/>
        <w:bottom w:val="single" w:sz="2" w:space="1" w:color="000080"/>
        <w:right w:val="single" w:sz="2" w:space="1" w:color="000080"/>
      </w:pBdr>
      <w:suppressAutoHyphens w:val="true"/>
    </w:pPr>
    <w:rPr>
      <w:rFonts w:ascii="DejaVu Sans" w:hAnsi="DejaVu Sans" w:eastAsia="DejaVu Sans" w:cs="DejaVu Sans"/>
      <w:color w:val="000080"/>
      <w:sz w:val="20"/>
    </w:rPr>
  </w:style>
  <w:style w:type="paragraph" w:styleId="Retrait1">
    <w:name w:val="Retrait1"/>
    <w:basedOn w:val="Normal"/>
    <w:next w:val="Normal"/>
    <w:qFormat/>
    <w:pPr>
      <w:suppressAutoHyphens w:val="true"/>
      <w:spacing w:before="57" w:after="57"/>
      <w:jc w:val="center"/>
    </w:pPr>
    <w:rPr>
      <w:rFonts w:eastAsia="Liberation Sans" w:cs="Liberation Sans"/>
      <w:b/>
      <w:color w:val="00CC33"/>
    </w:rPr>
  </w:style>
  <w:style w:type="paragraph" w:styleId="Citationsource">
    <w:name w:val="Citation source"/>
    <w:basedOn w:val="Normal"/>
    <w:qFormat/>
    <w:pPr>
      <w:suppressAutoHyphens w:val="true"/>
    </w:pPr>
    <w:rPr>
      <w:rFonts w:ascii="DejaVu Sans" w:hAnsi="DejaVu Sans" w:eastAsia="DejaVu Sans" w:cs="DejaVu Sans"/>
      <w:sz w:val="16"/>
    </w:rPr>
  </w:style>
  <w:style w:type="paragraph" w:styleId="Documenttexte">
    <w:name w:val="Document texte"/>
    <w:basedOn w:val="Normal"/>
    <w:qFormat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uppressAutoHyphens w:val="true"/>
    </w:pPr>
    <w:rPr/>
  </w:style>
  <w:style w:type="paragraph" w:styleId="Question">
    <w:name w:val="Question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FreeMono" w:hAnsi="FreeMono" w:eastAsia="HG Mincho Light J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800000"/>
      <w:spacing w:val="0"/>
      <w:w w:val="100"/>
      <w:kern w:val="2"/>
      <w:position w:val="0"/>
      <w:sz w:val="22"/>
      <w:sz w:val="22"/>
      <w:szCs w:val="24"/>
      <w:u w:val="none"/>
      <w:shd w:fill="auto" w:val="clear"/>
      <w:vertAlign w:val="baseline"/>
      <w:em w:val="none"/>
      <w:lang w:bidi="fr-FR" w:val="fr-FR" w:eastAsia="zh-CN"/>
    </w:rPr>
  </w:style>
  <w:style w:type="paragraph" w:styleId="Rponse">
    <w:name w:val="Réponse"/>
    <w:basedOn w:val="Normal"/>
    <w:qFormat/>
    <w:pPr>
      <w:suppressAutoHyphens w:val="true"/>
    </w:pPr>
    <w:rPr>
      <w:sz w:val="24"/>
    </w:rPr>
  </w:style>
  <w:style w:type="paragraph" w:styleId="Synthse">
    <w:name w:val="Synthèse"/>
    <w:basedOn w:val="Normal"/>
    <w:qFormat/>
    <w:pPr>
      <w:pBdr>
        <w:top w:val="single" w:sz="2" w:space="1" w:color="800000"/>
        <w:left w:val="single" w:sz="2" w:space="1" w:color="800000"/>
        <w:bottom w:val="single" w:sz="2" w:space="1" w:color="800000"/>
        <w:right w:val="single" w:sz="2" w:space="1" w:color="800000"/>
      </w:pBdr>
      <w:suppressAutoHyphens w:val="true"/>
    </w:pPr>
    <w:rPr>
      <w:rFonts w:ascii="Arial" w:hAnsi="Arial" w:eastAsia="Arial" w:cs="Arial"/>
      <w:color w:val="800000"/>
    </w:rPr>
  </w:style>
  <w:style w:type="paragraph" w:styleId="Rponses">
    <w:name w:val="Réponses"/>
    <w:basedOn w:val="Question"/>
    <w:qFormat/>
    <w:pPr>
      <w:pBdr>
        <w:top w:val="single" w:sz="2" w:space="1" w:color="800000"/>
        <w:left w:val="single" w:sz="2" w:space="1" w:color="800000"/>
        <w:bottom w:val="single" w:sz="2" w:space="1" w:color="800000"/>
        <w:right w:val="single" w:sz="2" w:space="1" w:color="800000"/>
      </w:pBdr>
      <w:suppressAutoHyphens w:val="true"/>
    </w:pPr>
    <w:rPr>
      <w:color w:val="FF0000"/>
      <w:sz w:val="18"/>
    </w:rPr>
  </w:style>
  <w:style w:type="paragraph" w:styleId="Objetavecextrmitdeflche">
    <w:name w:val="Objet avec extrémité de flèche"/>
    <w:basedOn w:val="Normal"/>
    <w:qFormat/>
    <w:pPr>
      <w:suppressAutoHyphens w:val="true"/>
    </w:pPr>
    <w:rPr/>
  </w:style>
  <w:style w:type="paragraph" w:styleId="Objetavecombre">
    <w:name w:val="Objet avec ombre"/>
    <w:basedOn w:val="Normal"/>
    <w:qFormat/>
    <w:pPr>
      <w:suppressAutoHyphens w:val="true"/>
    </w:pPr>
    <w:rPr/>
  </w:style>
  <w:style w:type="paragraph" w:styleId="Objetsansremplissage">
    <w:name w:val="Objet sans remplissage"/>
    <w:basedOn w:val="Normal"/>
    <w:qFormat/>
    <w:pPr>
      <w:suppressAutoHyphens w:val="true"/>
    </w:pPr>
    <w:rPr/>
  </w:style>
  <w:style w:type="paragraph" w:styleId="Corpsdetextejustifi">
    <w:name w:val="Corps de texte justifié"/>
    <w:basedOn w:val="Normal"/>
    <w:qFormat/>
    <w:pPr>
      <w:suppressAutoHyphens w:val="true"/>
      <w:jc w:val="left"/>
    </w:pPr>
    <w:rPr/>
  </w:style>
  <w:style w:type="paragraph" w:styleId="Titre3">
    <w:name w:val="Titre3"/>
    <w:basedOn w:val="Normal"/>
    <w:qFormat/>
    <w:pPr>
      <w:suppressAutoHyphens w:val="true"/>
    </w:pPr>
    <w:rPr/>
  </w:style>
  <w:style w:type="paragraph" w:styleId="Titre4">
    <w:name w:val="Titre4"/>
    <w:basedOn w:val="Normal"/>
    <w:qFormat/>
    <w:pPr>
      <w:suppressAutoHyphens w:val="true"/>
      <w:jc w:val="center"/>
    </w:pPr>
    <w:rPr/>
  </w:style>
  <w:style w:type="paragraph" w:styleId="Titre5">
    <w:name w:val="Titre5"/>
    <w:basedOn w:val="Normal"/>
    <w:qFormat/>
    <w:pPr>
      <w:tabs>
        <w:tab w:val="clear" w:pos="709"/>
      </w:tabs>
      <w:suppressAutoHyphens w:val="true"/>
      <w:spacing w:before="57" w:after="57"/>
      <w:ind w:left="113" w:right="113"/>
      <w:jc w:val="center"/>
    </w:pPr>
    <w:rPr/>
  </w:style>
  <w:style w:type="paragraph" w:styleId="Titre1">
    <w:name w:val="Titre1"/>
    <w:basedOn w:val="Normal"/>
    <w:qFormat/>
    <w:pPr>
      <w:suppressAutoHyphens w:val="true"/>
      <w:spacing w:before="238" w:after="119"/>
    </w:pPr>
    <w:rPr/>
  </w:style>
  <w:style w:type="paragraph" w:styleId="Titre2">
    <w:name w:val="Titre2"/>
    <w:basedOn w:val="Normal"/>
    <w:qFormat/>
    <w:pPr>
      <w:suppressAutoHyphens w:val="true"/>
      <w:spacing w:before="238" w:after="119"/>
    </w:pPr>
    <w:rPr/>
  </w:style>
  <w:style w:type="paragraph" w:styleId="Lignedecote">
    <w:name w:val="Ligne de cote"/>
    <w:basedOn w:val="Normal"/>
    <w:qFormat/>
    <w:pPr>
      <w:suppressAutoHyphens w:val="true"/>
    </w:pPr>
    <w:rPr/>
  </w:style>
  <w:style w:type="paragraph" w:styleId="Objetsdarrire-plan">
    <w:name w:val="Objets d'arrière-plan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erif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Arrire-plan">
    <w:name w:val="Arrière-plan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erif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Notes">
    <w:name w:val="Notes"/>
    <w:qFormat/>
    <w:pPr>
      <w:keepNext w:val="false"/>
      <w:keepLines w:val="false"/>
      <w:pageBreakBefore w:val="false"/>
      <w:widowControl/>
      <w:pBdr/>
      <w:shd w:fill="auto" w:val="clear"/>
      <w:tabs>
        <w:tab w:val="clear" w:pos="709"/>
      </w:tabs>
      <w:suppressAutoHyphens w:val="true"/>
      <w:kinsoku w:val="true"/>
      <w:overflowPunct w:val="true"/>
      <w:autoSpaceDE w:val="false"/>
      <w:bidi w:val="0"/>
      <w:snapToGrid w:val="true"/>
      <w:spacing w:lineRule="auto" w:line="240"/>
      <w:ind w:hanging="340" w:left="340"/>
      <w:jc w:val="left"/>
      <w:textAlignment w:val="baseline"/>
    </w:pPr>
    <w:rPr>
      <w:rFonts w:ascii="DejaVu Sans" w:hAnsi="DejaVu Sans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40"/>
      <w:sz w:val="40"/>
      <w:szCs w:val="40"/>
      <w:u w:val="none"/>
      <w:shd w:fill="auto" w:val="clear"/>
      <w:vertAlign w:val="baseline"/>
      <w:em w:val="none"/>
      <w:lang w:val="fr-FR" w:eastAsia="zh-CN" w:bidi="hi-IN"/>
    </w:rPr>
  </w:style>
  <w:style w:type="paragraph" w:styleId="Plan1">
    <w:name w:val="Plan 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before="0" w:after="283" w:lineRule="auto" w:line="240"/>
      <w:jc w:val="left"/>
      <w:textAlignment w:val="baseline"/>
    </w:pPr>
    <w:rPr>
      <w:rFonts w:ascii="DejaVu Sans" w:hAnsi="DejaVu Sans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64"/>
      <w:sz w:val="64"/>
      <w:szCs w:val="64"/>
      <w:u w:val="none"/>
      <w:shd w:fill="auto" w:val="clear"/>
      <w:vertAlign w:val="baseline"/>
      <w:em w:val="none"/>
      <w:lang w:val="fr-FR" w:eastAsia="zh-CN" w:bidi="hi-IN"/>
    </w:rPr>
  </w:style>
  <w:style w:type="paragraph" w:styleId="Plan2">
    <w:name w:val="Plan 2"/>
    <w:basedOn w:val="Plan1"/>
    <w:qFormat/>
    <w:pPr>
      <w:suppressAutoHyphens w:val="true"/>
      <w:spacing w:before="0" w:after="227"/>
    </w:pPr>
    <w:rPr>
      <w:sz w:val="56"/>
      <w:szCs w:val="56"/>
    </w:rPr>
  </w:style>
  <w:style w:type="paragraph" w:styleId="Plan3">
    <w:name w:val="Plan 3"/>
    <w:basedOn w:val="Plan2"/>
    <w:qFormat/>
    <w:pPr>
      <w:suppressAutoHyphens w:val="true"/>
      <w:spacing w:before="0" w:after="170"/>
    </w:pPr>
    <w:rPr>
      <w:sz w:val="48"/>
      <w:szCs w:val="48"/>
    </w:rPr>
  </w:style>
  <w:style w:type="paragraph" w:styleId="Plan4">
    <w:name w:val="Plan 4"/>
    <w:basedOn w:val="Plan3"/>
    <w:qFormat/>
    <w:pPr>
      <w:suppressAutoHyphens w:val="true"/>
      <w:spacing w:before="0" w:after="113"/>
    </w:pPr>
    <w:rPr>
      <w:sz w:val="40"/>
      <w:szCs w:val="40"/>
    </w:rPr>
  </w:style>
  <w:style w:type="paragraph" w:styleId="Plan5">
    <w:name w:val="Plan 5"/>
    <w:basedOn w:val="Plan4"/>
    <w:qFormat/>
    <w:pPr>
      <w:suppressAutoHyphens w:val="true"/>
      <w:spacing w:before="0" w:after="57"/>
    </w:pPr>
    <w:rPr/>
  </w:style>
  <w:style w:type="paragraph" w:styleId="Plan6">
    <w:name w:val="Plan 6"/>
    <w:basedOn w:val="Plan5"/>
    <w:qFormat/>
    <w:pPr>
      <w:suppressAutoHyphens w:val="true"/>
    </w:pPr>
    <w:rPr/>
  </w:style>
  <w:style w:type="paragraph" w:styleId="Plan7">
    <w:name w:val="Plan 7"/>
    <w:basedOn w:val="Plan6"/>
    <w:qFormat/>
    <w:pPr>
      <w:suppressAutoHyphens w:val="true"/>
    </w:pPr>
    <w:rPr/>
  </w:style>
  <w:style w:type="paragraph" w:styleId="Plan8">
    <w:name w:val="Plan 8"/>
    <w:basedOn w:val="Plan7"/>
    <w:qFormat/>
    <w:pPr>
      <w:suppressAutoHyphens w:val="true"/>
    </w:pPr>
    <w:rPr/>
  </w:style>
  <w:style w:type="paragraph" w:styleId="Plan9">
    <w:name w:val="Plan 9"/>
    <w:basedOn w:val="Plan8"/>
    <w:qFormat/>
    <w:pPr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tLeast" w:line="200"/>
      <w:jc w:val="left"/>
      <w:textAlignment w:val="baseline"/>
    </w:pPr>
    <w:rPr>
      <w:rFonts w:ascii="DejaVu Sans" w:hAnsi="DejaVu Sans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36"/>
      <w:sz w:val="36"/>
      <w:szCs w:val="36"/>
      <w:u w:val="none"/>
      <w:shd w:fill="auto" w:val="clear"/>
      <w:vertAlign w:val="baseline"/>
      <w:em w:val="none"/>
      <w:lang w:val="fr-FR" w:eastAsia="zh-CN" w:bidi="hi-IN"/>
    </w:rPr>
  </w:style>
  <w:style w:type="paragraph" w:styleId="orange1">
    <w:name w:val="orange1"/>
    <w:basedOn w:val="default"/>
    <w:qFormat/>
    <w:pPr>
      <w:suppressAutoHyphens w:val="true"/>
    </w:pPr>
    <w:rPr/>
  </w:style>
  <w:style w:type="paragraph" w:styleId="orange2">
    <w:name w:val="orange2"/>
    <w:basedOn w:val="default"/>
    <w:qFormat/>
    <w:pPr>
      <w:suppressAutoHyphens w:val="true"/>
    </w:pPr>
    <w:rPr/>
  </w:style>
  <w:style w:type="paragraph" w:styleId="orange3">
    <w:name w:val="orange3"/>
    <w:basedOn w:val="default"/>
    <w:qFormat/>
    <w:pPr>
      <w:suppressAutoHyphens w:val="true"/>
    </w:pPr>
    <w:rPr/>
  </w:style>
  <w:style w:type="paragraph" w:styleId="seetang1">
    <w:name w:val="seetang1"/>
    <w:basedOn w:val="default"/>
    <w:qFormat/>
    <w:pPr>
      <w:suppressAutoHyphens w:val="true"/>
    </w:pPr>
    <w:rPr/>
  </w:style>
  <w:style w:type="paragraph" w:styleId="seetang2">
    <w:name w:val="seetang2"/>
    <w:basedOn w:val="default"/>
    <w:qFormat/>
    <w:pPr>
      <w:suppressAutoHyphens w:val="true"/>
    </w:pPr>
    <w:rPr/>
  </w:style>
  <w:style w:type="paragraph" w:styleId="seetang3">
    <w:name w:val="seetang3"/>
    <w:basedOn w:val="default"/>
    <w:qFormat/>
    <w:pPr>
      <w:suppressAutoHyphens w:val="true"/>
    </w:pPr>
    <w:rPr/>
  </w:style>
  <w:style w:type="paragraph" w:styleId="Contenudecadre">
    <w:name w:val="Contenu de cadre"/>
    <w:basedOn w:val="BodyText"/>
    <w:qFormat/>
    <w:pPr>
      <w:suppressAutoHyphens w:val="true"/>
    </w:pPr>
    <w:rPr/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Pieddepageuser">
    <w:name w:val="Pied de page (user)"/>
    <w:basedOn w:val="Normal"/>
    <w:qFormat/>
    <w:pPr>
      <w:suppressLineNumbers/>
      <w:tabs>
        <w:tab w:val="clear" w:pos="709"/>
        <w:tab w:val="center" w:pos="5102" w:leader="none"/>
        <w:tab w:val="right" w:pos="10205" w:leader="none"/>
      </w:tabs>
      <w:suppressAutoHyphens w:val="true"/>
    </w:pPr>
    <w:rPr/>
  </w:style>
  <w:style w:type="paragraph" w:styleId="En-tteuser">
    <w:name w:val="En-tête (user)"/>
    <w:basedOn w:val="Normal"/>
    <w:qFormat/>
    <w:pPr>
      <w:suppressLineNumbers/>
      <w:tabs>
        <w:tab w:val="clear" w:pos="709"/>
        <w:tab w:val="center" w:pos="5102" w:leader="none"/>
        <w:tab w:val="right" w:pos="10205" w:leader="none"/>
      </w:tabs>
      <w:suppressAutoHyphens w:val="true"/>
    </w:pPr>
    <w:rPr/>
  </w:style>
  <w:style w:type="paragraph" w:styleId="Sansnom1">
    <w:name w:val="Sans nom1"/>
    <w:basedOn w:val="Documenttexte"/>
    <w:qFormat/>
    <w:pPr>
      <w:pBdr>
        <w:top w:val="single" w:sz="2" w:space="1" w:color="6666FF"/>
        <w:left w:val="single" w:sz="2" w:space="1" w:color="6666FF"/>
        <w:bottom w:val="single" w:sz="2" w:space="1" w:color="6666FF"/>
        <w:right w:val="single" w:sz="2" w:space="1" w:color="6666FF"/>
      </w:pBdr>
      <w:suppressAutoHyphens w:val="true"/>
    </w:pPr>
    <w:rPr>
      <w:color w:val="6666FF"/>
      <w:sz w:val="20"/>
    </w:rPr>
  </w:style>
  <w:style w:type="paragraph" w:styleId="Document2">
    <w:name w:val="Document 2"/>
    <w:basedOn w:val="Documenttexte"/>
    <w:qFormat/>
    <w:pPr>
      <w:pBdr>
        <w:top w:val="single" w:sz="2" w:space="1" w:color="B2B2B2"/>
        <w:left w:val="single" w:sz="2" w:space="1" w:color="B2B2B2"/>
        <w:bottom w:val="single" w:sz="2" w:space="1" w:color="B2B2B2"/>
        <w:right w:val="single" w:sz="2" w:space="1" w:color="B2B2B2"/>
      </w:pBdr>
      <w:suppressAutoHyphens w:val="true"/>
    </w:pPr>
    <w:rPr>
      <w:color w:val="B2B2B2"/>
      <w:sz w:val="20"/>
    </w:rPr>
  </w:style>
  <w:style w:type="paragraph" w:styleId="Retrait11">
    <w:name w:val="Retrait 1"/>
    <w:basedOn w:val="Normal"/>
    <w:qFormat/>
    <w:pPr>
      <w:pBdr>
        <w:top w:val="single" w:sz="2" w:space="1" w:color="000080"/>
        <w:left w:val="single" w:sz="2" w:space="1" w:color="000080"/>
        <w:bottom w:val="single" w:sz="2" w:space="1" w:color="000080"/>
        <w:right w:val="single" w:sz="2" w:space="1" w:color="000080"/>
      </w:pBdr>
      <w:suppressAutoHyphens w:val="true"/>
    </w:pPr>
    <w:rPr>
      <w:color w:val="000080"/>
      <w:sz w:val="18"/>
    </w:rPr>
  </w:style>
  <w:style w:type="paragraph" w:styleId="Contenudeliste">
    <w:name w:val="Contenu de liste"/>
    <w:basedOn w:val="Normal"/>
    <w:qFormat/>
    <w:pPr>
      <w:tabs>
        <w:tab w:val="clear" w:pos="709"/>
      </w:tabs>
      <w:suppressAutoHyphens w:val="true"/>
      <w:ind w:left="567"/>
    </w:pPr>
    <w:rPr/>
  </w:style>
  <w:style w:type="paragraph" w:styleId="Texteprformat">
    <w:name w:val="Texte préformaté"/>
    <w:basedOn w:val="Normal"/>
    <w:qFormat/>
    <w:pPr>
      <w:suppressAutoHyphens w:val="true"/>
    </w:pPr>
    <w:rPr>
      <w:rFonts w:ascii="Liberation Mono" w:hAnsi="Liberation Mono" w:eastAsia="NSimSun" w:cs="Liberation Mono"/>
      <w:sz w:val="20"/>
      <w:szCs w:val="20"/>
    </w:rPr>
  </w:style>
  <w:style w:type="paragraph" w:styleId="Header">
    <w:name w:val="header"/>
    <w:basedOn w:val="En-tteetpieddepage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En-tteetpieddepage"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pn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media/image8.jpeg"/><Relationship Id="rId20" Type="http://schemas.openxmlformats.org/officeDocument/2006/relationships/image" Target="media/image9.jpeg"/><Relationship Id="rId21" Type="http://schemas.openxmlformats.org/officeDocument/2006/relationships/image" Target="media/image10.jpeg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LibreOffice/24.8.6.2$Windows_X86_64 LibreOffice_project/6d98ba145e9a8a39fc57bcc76981d1fb1316c60c</Application>
  <AppVersion>15.0000</AppVersion>
  <Pages>1</Pages>
  <Words>612</Words>
  <Characters>3368</Characters>
  <CharactersWithSpaces>3973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2020-12-16T14:54:00Z</dcterms:created>
  <dc:creator/>
  <dc:description/>
  <dc:language>fr-FR</dc:language>
  <cp:lastModifiedBy>Utilisateur invité</cp:lastModifiedBy>
  <dcterms:modified xsi:type="dcterms:W3CDTF">2020-12-16T14:54:00Z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