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 xml:space="preserve">TABLEAU DE SYNTHESE : TRAVAIL D'ARGUMENTATION </w:t>
      </w:r>
    </w:p>
    <w:p>
      <w:pPr>
        <w:pStyle w:val="Normal"/>
        <w:bidi w:val="0"/>
        <w:jc w:val="center"/>
        <w:rPr/>
      </w:pPr>
      <w:r>
        <w:rPr/>
        <w:t>THEME : Quelles relations entre le diplôme, l'emploi et le salaire ?</w:t>
      </w:r>
    </w:p>
    <w:p>
      <w:pPr>
        <w:pStyle w:val="Normal"/>
        <w:bidi w:val="0"/>
        <w:jc w:val="left"/>
        <w:rPr/>
      </w:pPr>
      <w:r>
        <w:rPr/>
      </w:r>
    </w:p>
    <w:tbl>
      <w:tblPr>
        <w:tblW w:w="5000" w:type="pct"/>
        <w:jc w:val="left"/>
        <w:tblInd w:w="0" w:type="dxa"/>
        <w:tblLayout w:type="fixed"/>
        <w:tblCellMar>
          <w:top w:w="55" w:type="dxa"/>
          <w:left w:w="55" w:type="dxa"/>
          <w:bottom w:w="55" w:type="dxa"/>
          <w:right w:w="55" w:type="dxa"/>
        </w:tblCellMar>
      </w:tblPr>
      <w:tblGrid>
        <w:gridCol w:w="3212"/>
        <w:gridCol w:w="3213"/>
        <w:gridCol w:w="3213"/>
      </w:tblGrid>
      <w:tr>
        <w:trPr/>
        <w:tc>
          <w:tcPr>
            <w:tcW w:w="3212" w:type="dxa"/>
            <w:tcBorders>
              <w:top w:val="single" w:sz="2" w:space="0" w:color="000000"/>
              <w:left w:val="single" w:sz="2" w:space="0" w:color="000000"/>
              <w:bottom w:val="single" w:sz="2" w:space="0" w:color="000000"/>
            </w:tcBorders>
          </w:tcPr>
          <w:p>
            <w:pPr>
              <w:pStyle w:val="Contenudetableau"/>
              <w:bidi w:val="0"/>
              <w:jc w:val="center"/>
              <w:rPr>
                <w:b/>
                <w:bCs/>
              </w:rPr>
            </w:pPr>
            <w:r>
              <w:rPr>
                <w:b/>
                <w:bCs/>
              </w:rPr>
              <w:t>Affirmation</w:t>
            </w:r>
          </w:p>
        </w:tc>
        <w:tc>
          <w:tcPr>
            <w:tcW w:w="3213" w:type="dxa"/>
            <w:tcBorders>
              <w:top w:val="single" w:sz="2" w:space="0" w:color="000000"/>
              <w:left w:val="single" w:sz="2" w:space="0" w:color="000000"/>
              <w:bottom w:val="single" w:sz="2" w:space="0" w:color="000000"/>
            </w:tcBorders>
          </w:tcPr>
          <w:p>
            <w:pPr>
              <w:pStyle w:val="Contenudetableau"/>
              <w:bidi w:val="0"/>
              <w:jc w:val="center"/>
              <w:rPr>
                <w:b/>
                <w:bCs/>
              </w:rPr>
            </w:pPr>
            <w:r>
              <w:rPr>
                <w:b/>
                <w:bCs/>
              </w:rPr>
              <w:t>Explication</w:t>
            </w:r>
          </w:p>
        </w:tc>
        <w:tc>
          <w:tcPr>
            <w:tcW w:w="3213" w:type="dxa"/>
            <w:tcBorders>
              <w:top w:val="single" w:sz="2" w:space="0" w:color="000000"/>
              <w:left w:val="single" w:sz="2" w:space="0" w:color="000000"/>
              <w:bottom w:val="single" w:sz="2" w:space="0" w:color="000000"/>
              <w:right w:val="single" w:sz="2" w:space="0" w:color="000000"/>
            </w:tcBorders>
          </w:tcPr>
          <w:p>
            <w:pPr>
              <w:pStyle w:val="Contenudetableau"/>
              <w:bidi w:val="0"/>
              <w:jc w:val="center"/>
              <w:rPr>
                <w:b/>
                <w:bCs/>
              </w:rPr>
            </w:pPr>
            <w:r>
              <w:rPr>
                <w:b/>
                <w:bCs/>
              </w:rPr>
              <w:t>Illustration</w:t>
            </w:r>
          </w:p>
        </w:tc>
      </w:tr>
      <w:tr>
        <w:trPr/>
        <w:tc>
          <w:tcPr>
            <w:tcW w:w="3212" w:type="dxa"/>
            <w:tcBorders>
              <w:left w:val="single" w:sz="2" w:space="0" w:color="000000"/>
              <w:bottom w:val="single" w:sz="2" w:space="0" w:color="000000"/>
            </w:tcBorders>
          </w:tcPr>
          <w:p>
            <w:pPr>
              <w:pStyle w:val="Contenudetableau"/>
              <w:suppressLineNumbers/>
              <w:bidi w:val="0"/>
              <w:jc w:val="left"/>
              <w:rPr/>
            </w:pPr>
            <w:r>
              <w:rPr/>
              <w:t>Faire des études supérieures en France coûte très cher</w:t>
            </w:r>
          </w:p>
        </w:tc>
        <w:tc>
          <w:tcPr>
            <w:tcW w:w="3213" w:type="dxa"/>
            <w:tcBorders>
              <w:left w:val="single" w:sz="2" w:space="0" w:color="000000"/>
              <w:bottom w:val="single" w:sz="2" w:space="0" w:color="000000"/>
            </w:tcBorders>
          </w:tcPr>
          <w:p>
            <w:pPr>
              <w:pStyle w:val="Contenudetableau"/>
              <w:suppressLineNumbers/>
              <w:bidi w:val="0"/>
              <w:jc w:val="left"/>
              <w:rPr/>
            </w:pPr>
            <w:r>
              <w:rPr/>
              <w:t>Outre les frais de scolarité, il faut compter le logement, l'alimentation, le transport. Cependant ce coût diffère selon le type d'études poursuivies</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Le coût des études par enfant s 'élevait en France en 2018 à 7 118 €. A lui seul le logement coûte en moyenne 2 107 €.</w:t>
            </w:r>
          </w:p>
        </w:tc>
      </w:tr>
      <w:tr>
        <w:trPr/>
        <w:tc>
          <w:tcPr>
            <w:tcW w:w="3212" w:type="dxa"/>
            <w:tcBorders>
              <w:left w:val="single" w:sz="2" w:space="0" w:color="000000"/>
              <w:bottom w:val="single" w:sz="2" w:space="0" w:color="000000"/>
            </w:tcBorders>
          </w:tcPr>
          <w:p>
            <w:pPr>
              <w:pStyle w:val="Contenudetableau"/>
              <w:suppressLineNumbers/>
              <w:bidi w:val="0"/>
              <w:jc w:val="left"/>
              <w:rPr/>
            </w:pPr>
            <w:r>
              <w:rPr/>
              <w:t>Le fait de posséder un diplôme est rémunérateur</w:t>
            </w:r>
          </w:p>
        </w:tc>
        <w:tc>
          <w:tcPr>
            <w:tcW w:w="3213" w:type="dxa"/>
            <w:tcBorders>
              <w:left w:val="single" w:sz="2" w:space="0" w:color="000000"/>
              <w:bottom w:val="single" w:sz="2" w:space="0" w:color="000000"/>
            </w:tcBorders>
          </w:tcPr>
          <w:p>
            <w:pPr>
              <w:pStyle w:val="Contenudetableau"/>
              <w:suppressLineNumbers/>
              <w:bidi w:val="0"/>
              <w:jc w:val="left"/>
              <w:rPr/>
            </w:pPr>
            <w:r>
              <w:rPr/>
              <w:t>La corrélation entre le niveau de diplôme et le salaire est positive : ainsi plus le niveau de diplôme est élevé, plus le salaire est important.</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Le salaire médian d'un diplômé au niveau baccalauréat est de 1 384 € en 32015, contre 2 436 € pour un diplôme d'ingénieur.</w:t>
            </w:r>
          </w:p>
        </w:tc>
      </w:tr>
      <w:tr>
        <w:trPr/>
        <w:tc>
          <w:tcPr>
            <w:tcW w:w="3212" w:type="dxa"/>
            <w:tcBorders>
              <w:left w:val="single" w:sz="2" w:space="0" w:color="000000"/>
              <w:bottom w:val="single" w:sz="2" w:space="0" w:color="000000"/>
            </w:tcBorders>
          </w:tcPr>
          <w:p>
            <w:pPr>
              <w:pStyle w:val="Contenudetableau"/>
              <w:suppressLineNumbers/>
              <w:bidi w:val="0"/>
              <w:jc w:val="left"/>
              <w:rPr/>
            </w:pPr>
            <w:r>
              <w:rPr/>
              <w:t>La rémunération d'un salarié dépend de son capital humain</w:t>
            </w:r>
          </w:p>
        </w:tc>
        <w:tc>
          <w:tcPr>
            <w:tcW w:w="3213" w:type="dxa"/>
            <w:tcBorders>
              <w:left w:val="single" w:sz="2" w:space="0" w:color="000000"/>
              <w:bottom w:val="single" w:sz="2" w:space="0" w:color="000000"/>
            </w:tcBorders>
          </w:tcPr>
          <w:p>
            <w:pPr>
              <w:pStyle w:val="Contenudetableau"/>
              <w:suppressLineNumbers/>
              <w:bidi w:val="0"/>
              <w:jc w:val="left"/>
              <w:rPr/>
            </w:pPr>
            <w:r>
              <w:rPr/>
              <w:t>En effet de façon consciente les individus « investissent dans leur personne » pour acquérir des compétences, des qualifications et ainsi augmenter la rémunération</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Suivre une formation qui permette de mettre à jour ses connaissances, d'obtenir une promotion et ainsi de gagner plus.</w:t>
            </w:r>
          </w:p>
        </w:tc>
      </w:tr>
      <w:tr>
        <w:trPr/>
        <w:tc>
          <w:tcPr>
            <w:tcW w:w="3212" w:type="dxa"/>
            <w:tcBorders>
              <w:left w:val="single" w:sz="2" w:space="0" w:color="000000"/>
              <w:bottom w:val="single" w:sz="2" w:space="0" w:color="000000"/>
            </w:tcBorders>
          </w:tcPr>
          <w:p>
            <w:pPr>
              <w:pStyle w:val="Contenudetableau"/>
              <w:suppressLineNumbers/>
              <w:bidi w:val="0"/>
              <w:jc w:val="left"/>
              <w:rPr/>
            </w:pPr>
            <w:r>
              <w:rPr/>
              <w:t>La possession d'un diplôme favorise l'obtention d'un emploi</w:t>
            </w:r>
          </w:p>
        </w:tc>
        <w:tc>
          <w:tcPr>
            <w:tcW w:w="3213" w:type="dxa"/>
            <w:tcBorders>
              <w:left w:val="single" w:sz="2" w:space="0" w:color="000000"/>
              <w:bottom w:val="single" w:sz="2" w:space="0" w:color="000000"/>
            </w:tcBorders>
          </w:tcPr>
          <w:p>
            <w:pPr>
              <w:pStyle w:val="Contenudetableau"/>
              <w:suppressLineNumbers/>
              <w:bidi w:val="0"/>
              <w:jc w:val="left"/>
              <w:rPr/>
            </w:pPr>
            <w:r>
              <w:rPr/>
              <w:t>Contrairement aux idées reçues, la poursuite d'études supérieures est un bon rempart contre le chômage</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89,4 % des diplômés à Bac +3 et plus occupent un emploi, contre 57,5 % des sans diplôme chez les 30 à 59 ans.</w:t>
            </w:r>
          </w:p>
        </w:tc>
      </w:tr>
      <w:tr>
        <w:trPr/>
        <w:tc>
          <w:tcPr>
            <w:tcW w:w="3212" w:type="dxa"/>
            <w:tcBorders>
              <w:left w:val="single" w:sz="2" w:space="0" w:color="000000"/>
              <w:bottom w:val="single" w:sz="2" w:space="0" w:color="000000"/>
            </w:tcBorders>
          </w:tcPr>
          <w:p>
            <w:pPr>
              <w:pStyle w:val="Contenudetableau"/>
              <w:suppressLineNumbers/>
              <w:bidi w:val="0"/>
              <w:jc w:val="left"/>
              <w:rPr/>
            </w:pPr>
            <w:r>
              <w:rPr/>
              <w:t>Le diplôme protège du chômage et favorise l'insertion professionnelle</w:t>
            </w:r>
          </w:p>
        </w:tc>
        <w:tc>
          <w:tcPr>
            <w:tcW w:w="3213" w:type="dxa"/>
            <w:tcBorders>
              <w:left w:val="single" w:sz="2" w:space="0" w:color="000000"/>
              <w:bottom w:val="single" w:sz="2" w:space="0" w:color="000000"/>
            </w:tcBorders>
          </w:tcPr>
          <w:p>
            <w:pPr>
              <w:pStyle w:val="Contenudetableau"/>
              <w:suppressLineNumbers/>
              <w:bidi w:val="0"/>
              <w:jc w:val="left"/>
              <w:rPr/>
            </w:pPr>
            <w:r>
              <w:rPr/>
              <w:t>En effet, l'accès à l'emploi, (qui plus est à des CDI),  des diplômés du supérieur est beaucoup plus important que celui des non diplômés</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La part des non-diplômés au chômage est presque cinq fois plus élevée que celle des titulaires d'un Master.</w:t>
            </w:r>
          </w:p>
        </w:tc>
      </w:tr>
      <w:tr>
        <w:trPr/>
        <w:tc>
          <w:tcPr>
            <w:tcW w:w="3212" w:type="dxa"/>
            <w:tcBorders>
              <w:left w:val="single" w:sz="2" w:space="0" w:color="000000"/>
              <w:bottom w:val="single" w:sz="2" w:space="0" w:color="000000"/>
            </w:tcBorders>
          </w:tcPr>
          <w:p>
            <w:pPr>
              <w:pStyle w:val="Contenudetableau"/>
              <w:suppressLineNumbers/>
              <w:bidi w:val="0"/>
              <w:jc w:val="left"/>
              <w:rPr/>
            </w:pPr>
            <w:r>
              <w:rPr/>
              <w:t>Les diplômes permettent d'augmenter les capabilités des individus</w:t>
            </w:r>
          </w:p>
        </w:tc>
        <w:tc>
          <w:tcPr>
            <w:tcW w:w="3213" w:type="dxa"/>
            <w:tcBorders>
              <w:left w:val="single" w:sz="2" w:space="0" w:color="000000"/>
              <w:bottom w:val="single" w:sz="2" w:space="0" w:color="000000"/>
            </w:tcBorders>
          </w:tcPr>
          <w:p>
            <w:pPr>
              <w:pStyle w:val="Contenudetableau"/>
              <w:suppressLineNumbers/>
              <w:bidi w:val="0"/>
              <w:jc w:val="left"/>
              <w:rPr/>
            </w:pPr>
            <w:r>
              <w:rPr/>
              <w:t>L'éducation élargit l'éventail des possibilités offertes aux individus et permet de gagner plus, mais aussi d'améliorer la qualité de vie, la liberté individuelle et le choix de son destin</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La Corée du Sud, Singapour et le Japon sont ceux qui investissent le mieux dans leurs populations et sont susceptibles de tirer le plus grand dividende économique de cette richesse immatérielle.</w:t>
            </w:r>
          </w:p>
        </w:tc>
      </w:tr>
      <w:tr>
        <w:trPr/>
        <w:tc>
          <w:tcPr>
            <w:tcW w:w="3212" w:type="dxa"/>
            <w:tcBorders>
              <w:left w:val="single" w:sz="2" w:space="0" w:color="000000"/>
              <w:bottom w:val="single" w:sz="2" w:space="0" w:color="000000"/>
            </w:tcBorders>
          </w:tcPr>
          <w:p>
            <w:pPr>
              <w:pStyle w:val="Contenudetableau"/>
              <w:suppressLineNumbers/>
              <w:bidi w:val="0"/>
              <w:jc w:val="left"/>
              <w:rPr/>
            </w:pPr>
            <w:r>
              <w:rPr/>
              <w:t>Le salaire perçu dépend de la taille de l'entreprise</w:t>
            </w:r>
          </w:p>
        </w:tc>
        <w:tc>
          <w:tcPr>
            <w:tcW w:w="3213" w:type="dxa"/>
            <w:tcBorders>
              <w:left w:val="single" w:sz="2" w:space="0" w:color="000000"/>
              <w:bottom w:val="single" w:sz="2" w:space="0" w:color="000000"/>
            </w:tcBorders>
          </w:tcPr>
          <w:p>
            <w:pPr>
              <w:pStyle w:val="Contenudetableau"/>
              <w:suppressLineNumbers/>
              <w:bidi w:val="0"/>
              <w:jc w:val="left"/>
              <w:rPr/>
            </w:pPr>
            <w:r>
              <w:rPr/>
              <w:t>Les entreprises de plus grande taille ont davantage les moyens financiers de mieux rémunérer leurs salariés pour les attirer et les conserver</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Selon la DARES en 2015, un salarié d'une grande entreprise gagne en moyenne 660 € de plus qu'un salarié d'une entreprise de moins de 10 salariés.</w:t>
            </w:r>
          </w:p>
        </w:tc>
      </w:tr>
      <w:tr>
        <w:trPr/>
        <w:tc>
          <w:tcPr>
            <w:tcW w:w="3212" w:type="dxa"/>
            <w:tcBorders>
              <w:left w:val="single" w:sz="2" w:space="0" w:color="000000"/>
              <w:bottom w:val="single" w:sz="2" w:space="0" w:color="000000"/>
            </w:tcBorders>
          </w:tcPr>
          <w:p>
            <w:pPr>
              <w:pStyle w:val="Contenudetableau"/>
              <w:suppressLineNumbers/>
              <w:bidi w:val="0"/>
              <w:jc w:val="left"/>
              <w:rPr/>
            </w:pPr>
            <w:r>
              <w:rPr/>
              <w:t>Certains secteurs d'activité sont plus rémunérateurs que d'autres</w:t>
            </w:r>
          </w:p>
        </w:tc>
        <w:tc>
          <w:tcPr>
            <w:tcW w:w="3213" w:type="dxa"/>
            <w:tcBorders>
              <w:left w:val="single" w:sz="2" w:space="0" w:color="000000"/>
              <w:bottom w:val="single" w:sz="2" w:space="0" w:color="000000"/>
            </w:tcBorders>
          </w:tcPr>
          <w:p>
            <w:pPr>
              <w:pStyle w:val="Contenudetableau"/>
              <w:suppressLineNumbers/>
              <w:bidi w:val="0"/>
              <w:jc w:val="left"/>
              <w:rPr/>
            </w:pPr>
            <w:r>
              <w:rPr/>
              <w:t>Certains secteurs créent des biens et services à forte valeur ajoutée ; ils proposent des emplois plus qualifiés et mieux rémunérés</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Selon l'activité le salaire peut varier du simple au double : 1 624 € mensuel dans l'hébergement et la restauration, pour 3 384 € dans les activités financières et d'assurance.</w:t>
            </w:r>
          </w:p>
        </w:tc>
      </w:tr>
      <w:tr>
        <w:trPr/>
        <w:tc>
          <w:tcPr>
            <w:tcW w:w="3212" w:type="dxa"/>
            <w:tcBorders>
              <w:left w:val="single" w:sz="2" w:space="0" w:color="000000"/>
              <w:bottom w:val="single" w:sz="2" w:space="0" w:color="000000"/>
            </w:tcBorders>
          </w:tcPr>
          <w:p>
            <w:pPr>
              <w:pStyle w:val="Contenudetableau"/>
              <w:suppressLineNumbers/>
              <w:bidi w:val="0"/>
              <w:jc w:val="left"/>
              <w:rPr/>
            </w:pPr>
            <w:r>
              <w:rPr/>
              <w:t>Les salaires perçus par les individus dépendant de leur âge et  de leur expérience</w:t>
            </w:r>
          </w:p>
        </w:tc>
        <w:tc>
          <w:tcPr>
            <w:tcW w:w="3213" w:type="dxa"/>
            <w:tcBorders>
              <w:left w:val="single" w:sz="2" w:space="0" w:color="000000"/>
              <w:bottom w:val="single" w:sz="2" w:space="0" w:color="000000"/>
            </w:tcBorders>
          </w:tcPr>
          <w:p>
            <w:pPr>
              <w:pStyle w:val="Contenudetableau"/>
              <w:suppressLineNumbers/>
              <w:bidi w:val="0"/>
              <w:jc w:val="left"/>
              <w:rPr/>
            </w:pPr>
            <w:r>
              <w:rPr/>
              <w:t>Avec l'âge l'individu accumule de l'expérience, ce qui accroît son capital humain, donc sa productivité et au final sa rémunération</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Dans de nombreux secteurs d'activité, la rémunération augmente automatiquement en fonction de l'ancienneté dans l'entreprise.</w:t>
            </w:r>
          </w:p>
        </w:tc>
      </w:tr>
      <w:tr>
        <w:trPr/>
        <w:tc>
          <w:tcPr>
            <w:tcW w:w="3212" w:type="dxa"/>
            <w:tcBorders>
              <w:left w:val="single" w:sz="2" w:space="0" w:color="000000"/>
              <w:bottom w:val="single" w:sz="2" w:space="0" w:color="000000"/>
            </w:tcBorders>
          </w:tcPr>
          <w:p>
            <w:pPr>
              <w:pStyle w:val="Contenudetableau"/>
              <w:suppressLineNumbers/>
              <w:bidi w:val="0"/>
              <w:jc w:val="left"/>
              <w:rPr/>
            </w:pPr>
            <w:r>
              <w:rPr/>
              <w:t>Les salaires sont inégaux selon le genre</w:t>
            </w:r>
          </w:p>
        </w:tc>
        <w:tc>
          <w:tcPr>
            <w:tcW w:w="3213" w:type="dxa"/>
            <w:tcBorders>
              <w:left w:val="single" w:sz="2" w:space="0" w:color="000000"/>
              <w:bottom w:val="single" w:sz="2" w:space="0" w:color="000000"/>
            </w:tcBorders>
          </w:tcPr>
          <w:p>
            <w:pPr>
              <w:pStyle w:val="Contenudetableau"/>
              <w:suppressLineNumbers/>
              <w:bidi w:val="0"/>
              <w:jc w:val="left"/>
              <w:rPr/>
            </w:pPr>
            <w:r>
              <w:rPr/>
              <w:t>Les stéréotypes associés aux emplois conduisent les femmes à exercer des métiers moins bien rémunérés (service à la personne) et la répartition inégale des tâches dans le couple les conduisent souvent à occuper des emplois à temps partiel</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Aujourd'hui en France, les femmes ont toujours un salaire plus faible de 24 % par rapport à celui des hommes.</w:t>
            </w:r>
          </w:p>
        </w:tc>
      </w:tr>
      <w:tr>
        <w:trPr/>
        <w:tc>
          <w:tcPr>
            <w:tcW w:w="3212" w:type="dxa"/>
            <w:tcBorders>
              <w:left w:val="single" w:sz="2" w:space="0" w:color="000000"/>
              <w:bottom w:val="single" w:sz="2" w:space="0" w:color="000000"/>
            </w:tcBorders>
          </w:tcPr>
          <w:p>
            <w:pPr>
              <w:pStyle w:val="Contenudetableau"/>
              <w:suppressLineNumbers/>
              <w:bidi w:val="0"/>
              <w:jc w:val="left"/>
              <w:rPr/>
            </w:pPr>
            <w:r>
              <w:rPr/>
              <w:t>Les inégalités face aux diplômes peuvent être géographiques</w:t>
            </w:r>
          </w:p>
        </w:tc>
        <w:tc>
          <w:tcPr>
            <w:tcW w:w="3213" w:type="dxa"/>
            <w:tcBorders>
              <w:left w:val="single" w:sz="2" w:space="0" w:color="000000"/>
              <w:bottom w:val="single" w:sz="2" w:space="0" w:color="000000"/>
            </w:tcBorders>
          </w:tcPr>
          <w:p>
            <w:pPr>
              <w:pStyle w:val="Contenudetableau"/>
              <w:suppressLineNumbers/>
              <w:bidi w:val="0"/>
              <w:jc w:val="left"/>
              <w:rPr/>
            </w:pPr>
            <w:r>
              <w:rPr/>
              <w:t>Si on observe une corrélation entre l'académie et la réussite au bac, cela ne signifie pas forcément causalité. Il faut en effet observer la composition sociale des académies pour expliquer ces différences</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Dans l'académie de Poitiers entre 72,5 et 75 % des élèves qui entrent en 6° obtiendront leur bac. Da,ns l'académie de Rennes c'est plus de 75 %, mais seuls 13 % des parents y sont sans diplôme.</w:t>
            </w:r>
          </w:p>
        </w:tc>
      </w:tr>
      <w:tr>
        <w:trPr/>
        <w:tc>
          <w:tcPr>
            <w:tcW w:w="3212" w:type="dxa"/>
            <w:tcBorders>
              <w:left w:val="single" w:sz="2" w:space="0" w:color="000000"/>
              <w:bottom w:val="single" w:sz="2" w:space="0" w:color="000000"/>
            </w:tcBorders>
          </w:tcPr>
          <w:p>
            <w:pPr>
              <w:pStyle w:val="Contenudetableau"/>
              <w:suppressLineNumbers/>
              <w:bidi w:val="0"/>
              <w:jc w:val="left"/>
              <w:rPr/>
            </w:pPr>
            <w:r>
              <w:rPr/>
              <w:t>On poursuit plus longtemps ses études dans les milieux favorisés</w:t>
            </w:r>
          </w:p>
        </w:tc>
        <w:tc>
          <w:tcPr>
            <w:tcW w:w="3213" w:type="dxa"/>
            <w:tcBorders>
              <w:left w:val="single" w:sz="2" w:space="0" w:color="000000"/>
              <w:bottom w:val="single" w:sz="2" w:space="0" w:color="000000"/>
            </w:tcBorders>
          </w:tcPr>
          <w:p>
            <w:pPr>
              <w:pStyle w:val="Contenudetableau"/>
              <w:suppressLineNumbers/>
              <w:bidi w:val="0"/>
              <w:jc w:val="left"/>
              <w:rPr/>
            </w:pPr>
            <w:r>
              <w:rPr/>
              <w:t>La forte dotation en termes de capital économique  et culturel, maîtrise de la langue, connaissance du système éducatif, goût pour la lecture, des milieux favorisés explique la meilleure réussite de leurs enfants</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Les parents peuvent aider aux devoirs, accompagner leurs enfants dans les musées ou des expositions, payer des cours particuliers.</w:t>
            </w:r>
          </w:p>
        </w:tc>
      </w:tr>
      <w:tr>
        <w:trPr/>
        <w:tc>
          <w:tcPr>
            <w:tcW w:w="3212" w:type="dxa"/>
            <w:tcBorders>
              <w:left w:val="single" w:sz="2" w:space="0" w:color="000000"/>
              <w:bottom w:val="single" w:sz="2" w:space="0" w:color="000000"/>
            </w:tcBorders>
          </w:tcPr>
          <w:p>
            <w:pPr>
              <w:pStyle w:val="Contenudetableau"/>
              <w:suppressLineNumbers/>
              <w:bidi w:val="0"/>
              <w:jc w:val="left"/>
              <w:rPr/>
            </w:pPr>
            <w:r>
              <w:rPr/>
              <w:t>Le niveau de diplôme st différent selon l'origine sociale</w:t>
            </w:r>
          </w:p>
        </w:tc>
        <w:tc>
          <w:tcPr>
            <w:tcW w:w="3213" w:type="dxa"/>
            <w:tcBorders>
              <w:left w:val="single" w:sz="2" w:space="0" w:color="000000"/>
              <w:bottom w:val="single" w:sz="2" w:space="0" w:color="000000"/>
            </w:tcBorders>
          </w:tcPr>
          <w:p>
            <w:pPr>
              <w:pStyle w:val="Contenudetableau"/>
              <w:suppressLineNumbers/>
              <w:bidi w:val="0"/>
              <w:jc w:val="left"/>
              <w:rPr/>
            </w:pPr>
            <w:r>
              <w:rPr/>
              <w:t>On trouve des stratégies différentes selon le milieu social en matière d'orientation ou d'accompagnement à la scolarité</w:t>
            </w:r>
          </w:p>
        </w:tc>
        <w:tc>
          <w:tcPr>
            <w:tcW w:w="3213" w:type="dxa"/>
            <w:tcBorders>
              <w:left w:val="single" w:sz="2" w:space="0" w:color="000000"/>
              <w:bottom w:val="single" w:sz="2" w:space="0" w:color="000000"/>
              <w:right w:val="single" w:sz="2" w:space="0" w:color="000000"/>
            </w:tcBorders>
          </w:tcPr>
          <w:p>
            <w:pPr>
              <w:pStyle w:val="Contenudetableau"/>
              <w:suppressLineNumbers/>
              <w:bidi w:val="0"/>
              <w:jc w:val="left"/>
              <w:rPr/>
            </w:pPr>
            <w:r>
              <w:rPr/>
              <w:t>64 % des enfants de cadres atteignent un niveau supérieur à Bac + 3 pour seulement 12% des enfants d'ouvriers qualifiés.</w:t>
            </w:r>
          </w:p>
        </w:tc>
      </w:tr>
    </w:tbl>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fr-F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udetableau">
    <w:name w:val="Contenu de tableau"/>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TotalTime>
  <Application>LibreOffice/24.8.6.2$Windows_X86_64 LibreOffice_project/6d98ba145e9a8a39fc57bcc76981d1fb1316c60c</Application>
  <AppVersion>15.0000</AppVersion>
  <Pages>2</Pages>
  <Words>769</Words>
  <CharactersWithSpaces>4744</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2020-01-27T18:54:42Z</dcterms:created>
  <dc:creator>Thierry GUILLOT</dc:creator>
  <dc:description/>
  <dc:language>fr-FR</dc:language>
  <cp:lastModifiedBy>Thierry GUILLOT</cp:lastModifiedBy>
  <dcterms:modified xsi:type="dcterms:W3CDTF">2020-01-27T19:59:06Z</dcterms:modified>
  <cp:revision>3</cp:revision>
  <dc:subject/>
  <dc:title/>
</cp:coreProperties>
</file>