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Helvetica Neue" w:hAnsi="Helvetica Neue" w:eastAsia="Times New Roman" w:cs="Times New Roman"/>
          <w:b/>
          <w:bCs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21"/>
          <w:szCs w:val="21"/>
        </w:rPr>
        <w:tab/>
        <w:tab/>
        <w:tab/>
        <w:tab/>
        <w:tab/>
        <w:tab/>
        <w:t>QCM</w:t>
      </w:r>
    </w:p>
    <w:p>
      <w:pPr>
        <w:pStyle w:val="Normal"/>
        <w:rPr>
          <w:rFonts w:ascii="Helvetica Neue" w:hAnsi="Helvetica Neue" w:eastAsia="Times New Roman" w:cs="Times New Roman"/>
          <w:b/>
          <w:bCs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21"/>
          <w:szCs w:val="21"/>
        </w:rPr>
      </w:r>
    </w:p>
    <w:p>
      <w:pPr>
        <w:pStyle w:val="Normal"/>
        <w:rPr>
          <w:rFonts w:ascii="Helvetica Neue" w:hAnsi="Helvetica Neue" w:eastAsia="Times New Roman" w:cs="Times New Roman"/>
          <w:b/>
          <w:bCs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21"/>
          <w:szCs w:val="21"/>
        </w:rPr>
        <w:t>Question 1 / 5</w:t>
      </w:r>
    </w:p>
    <w:p>
      <w:pPr>
        <w:pStyle w:val="Normal"/>
        <w:numPr>
          <w:ilvl w:val="0"/>
          <w:numId w:val="0"/>
        </w:numPr>
        <w:spacing w:before="150" w:after="150"/>
        <w:outlineLvl w:val="3"/>
        <w:rPr>
          <w:rFonts w:ascii="inherit" w:hAnsi="inherit" w:eastAsia="Times New Roman" w:cs="Times New Roman"/>
          <w:caps/>
          <w:color w:val="000000"/>
          <w:sz w:val="21"/>
          <w:szCs w:val="21"/>
        </w:rPr>
      </w:pPr>
      <w:r>
        <w:rPr>
          <w:rFonts w:eastAsia="Times New Roman" w:cs="Times New Roman" w:ascii="inherit" w:hAnsi="inherit"/>
          <w:caps/>
          <w:color w:val="000000"/>
          <w:sz w:val="21"/>
          <w:szCs w:val="21"/>
        </w:rPr>
        <w:t>POUR PASSER DE L'UNION ÉCONOMIQUE À L'UNION ÉCONOMIQUE ET MONÉTAIRE, LES PAYS ONT DÛ :</w:t>
      </w:r>
    </w:p>
    <w:p>
      <w:pPr>
        <w:pStyle w:val="ListParagraph"/>
        <w:numPr>
          <w:ilvl w:val="0"/>
          <w:numId w:val="5"/>
        </w:numPr>
        <w:spacing w:before="15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  <w:highlight w:val="yellow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  <w:highlight w:val="yellow"/>
        </w:rPr>
        <w:t>respecter les critères de convergence</w:t>
      </w:r>
    </w:p>
    <w:p>
      <w:pPr>
        <w:pStyle w:val="ListParagraph"/>
        <w:numPr>
          <w:ilvl w:val="0"/>
          <w:numId w:val="5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  <w:highlight w:val="yellow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  <w:highlight w:val="yellow"/>
        </w:rPr>
        <w:t>mettre en place des politiques de rigueur</w:t>
      </w:r>
    </w:p>
    <w:p>
      <w:pPr>
        <w:pStyle w:val="ListParagraph"/>
        <w:numPr>
          <w:ilvl w:val="0"/>
          <w:numId w:val="5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mettre en place des politiques de relance</w:t>
      </w:r>
    </w:p>
    <w:p>
      <w:pPr>
        <w:pStyle w:val="ListParagraph"/>
        <w:numPr>
          <w:ilvl w:val="0"/>
          <w:numId w:val="5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améliorer tous les indicateurs du "carré magique"</w:t>
      </w:r>
    </w:p>
    <w:p>
      <w:pPr>
        <w:pStyle w:val="Normal"/>
        <w:rPr>
          <w:rFonts w:ascii="Helvetica Neue" w:hAnsi="Helvetica Neue" w:eastAsia="Times New Roman" w:cs="Times New Roman"/>
          <w:b/>
          <w:bCs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21"/>
          <w:szCs w:val="21"/>
        </w:rPr>
        <w:t>Question 2 / 5</w:t>
      </w:r>
    </w:p>
    <w:p>
      <w:pPr>
        <w:pStyle w:val="Normal"/>
        <w:numPr>
          <w:ilvl w:val="0"/>
          <w:numId w:val="0"/>
        </w:numPr>
        <w:spacing w:before="150" w:after="150"/>
        <w:outlineLvl w:val="3"/>
        <w:rPr>
          <w:rFonts w:ascii="inherit" w:hAnsi="inherit" w:eastAsia="Times New Roman" w:cs="Times New Roman"/>
          <w:caps/>
          <w:color w:val="000000"/>
          <w:sz w:val="21"/>
          <w:szCs w:val="21"/>
        </w:rPr>
      </w:pPr>
      <w:r>
        <w:rPr>
          <w:rFonts w:eastAsia="Times New Roman" w:cs="Times New Roman" w:ascii="inherit" w:hAnsi="inherit"/>
          <w:caps/>
          <w:color w:val="000000"/>
          <w:sz w:val="21"/>
          <w:szCs w:val="21"/>
        </w:rPr>
        <w:t>LES ÉTAPES DE L'INTÉGRATION EUROPÉENNE ONT EU LA CHRONOLOGIE SUIVANTE :</w:t>
      </w:r>
    </w:p>
    <w:p>
      <w:pPr>
        <w:pStyle w:val="ListParagraph"/>
        <w:numPr>
          <w:ilvl w:val="0"/>
          <w:numId w:val="4"/>
        </w:numPr>
        <w:spacing w:before="15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Union douanière ; 2. marché unique ; 3. zone de libre-échange ; 4. Union économique ; 5. Union économique et monétaire</w:t>
      </w:r>
    </w:p>
    <w:p>
      <w:pPr>
        <w:pStyle w:val="ListParagraph"/>
        <w:numPr>
          <w:ilvl w:val="0"/>
          <w:numId w:val="4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Zone de libre-échange ; 2 marché unique ; 3. union douanière ; 4. Union économique et monétaire ; 5. Union économique</w:t>
      </w:r>
    </w:p>
    <w:p>
      <w:pPr>
        <w:pStyle w:val="ListParagraph"/>
        <w:numPr>
          <w:ilvl w:val="0"/>
          <w:numId w:val="4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Zone de libre-échange ; 2. Marché unique ; 3. Union douanière ; 4. Union économique ; 5. Union économique et monétaire</w:t>
      </w:r>
    </w:p>
    <w:p>
      <w:pPr>
        <w:pStyle w:val="ListParagraph"/>
        <w:numPr>
          <w:ilvl w:val="0"/>
          <w:numId w:val="4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  <w:highlight w:val="yellow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  <w:highlight w:val="yellow"/>
        </w:rPr>
        <w:t>Zone de libre-échange ; 2. Union douanière ; 3. Marché unique ; 4 Union économique ; 5. Union économique et monétaire</w:t>
      </w:r>
    </w:p>
    <w:p>
      <w:pPr>
        <w:pStyle w:val="ListParagraph"/>
        <w:numPr>
          <w:ilvl w:val="0"/>
          <w:numId w:val="4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Union économique et monétaire ; 2. Union économique ; 3. Marché unique ; 4. Union douanière ; 5. Zone de libre-échange</w:t>
      </w:r>
    </w:p>
    <w:p>
      <w:pPr>
        <w:pStyle w:val="Normal"/>
        <w:rPr>
          <w:rFonts w:ascii="Helvetica Neue" w:hAnsi="Helvetica Neue" w:eastAsia="Times New Roman" w:cs="Times New Roman"/>
          <w:b/>
          <w:bCs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21"/>
          <w:szCs w:val="21"/>
        </w:rPr>
        <w:t>Question 3 / 5</w:t>
      </w:r>
    </w:p>
    <w:p>
      <w:pPr>
        <w:pStyle w:val="Normal"/>
        <w:numPr>
          <w:ilvl w:val="0"/>
          <w:numId w:val="0"/>
        </w:numPr>
        <w:spacing w:before="150" w:after="150"/>
        <w:outlineLvl w:val="3"/>
        <w:rPr>
          <w:rFonts w:ascii="inherit" w:hAnsi="inherit" w:eastAsia="Times New Roman" w:cs="Times New Roman"/>
          <w:caps/>
          <w:color w:val="000000"/>
          <w:sz w:val="21"/>
          <w:szCs w:val="21"/>
        </w:rPr>
      </w:pPr>
      <w:r>
        <w:rPr>
          <w:rFonts w:eastAsia="Times New Roman" w:cs="Times New Roman" w:ascii="inherit" w:hAnsi="inherit"/>
          <w:caps/>
          <w:color w:val="000000"/>
          <w:sz w:val="21"/>
          <w:szCs w:val="21"/>
        </w:rPr>
        <w:t>LE PASSAGE À LA MONNAIE UNIQUE A PERMIS</w:t>
      </w:r>
    </w:p>
    <w:p>
      <w:pPr>
        <w:pStyle w:val="ListParagraph"/>
        <w:numPr>
          <w:ilvl w:val="0"/>
          <w:numId w:val="3"/>
        </w:numPr>
        <w:spacing w:before="15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  <w:highlight w:val="yellow"/>
        </w:rPr>
        <w:t>de supprimer les frais de change</w:t>
      </w:r>
    </w:p>
    <w:p>
      <w:pPr>
        <w:pStyle w:val="ListParagraph"/>
        <w:numPr>
          <w:ilvl w:val="0"/>
          <w:numId w:val="3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la libre circulation des hommes et des capitaux</w:t>
      </w:r>
    </w:p>
    <w:p>
      <w:pPr>
        <w:pStyle w:val="ListParagraph"/>
        <w:numPr>
          <w:ilvl w:val="0"/>
          <w:numId w:val="3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  <w:highlight w:val="yellow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  <w:highlight w:val="yellow"/>
        </w:rPr>
        <w:t>de développer la concurrence entre entreprises européennes</w:t>
      </w:r>
    </w:p>
    <w:p>
      <w:pPr>
        <w:pStyle w:val="ListParagraph"/>
        <w:numPr>
          <w:ilvl w:val="0"/>
          <w:numId w:val="3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  <w:highlight w:val="yellow"/>
        </w:rPr>
        <w:t>de supprimer le risque de change</w:t>
      </w:r>
    </w:p>
    <w:p>
      <w:pPr>
        <w:pStyle w:val="Normal"/>
        <w:rPr>
          <w:rFonts w:ascii="Helvetica Neue" w:hAnsi="Helvetica Neue" w:eastAsia="Times New Roman" w:cs="Times New Roman"/>
          <w:b/>
          <w:bCs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21"/>
          <w:szCs w:val="21"/>
        </w:rPr>
        <w:t>Question 4 / 5</w:t>
      </w:r>
    </w:p>
    <w:p>
      <w:pPr>
        <w:pStyle w:val="Normal"/>
        <w:numPr>
          <w:ilvl w:val="0"/>
          <w:numId w:val="0"/>
        </w:numPr>
        <w:spacing w:before="150" w:after="150"/>
        <w:outlineLvl w:val="3"/>
        <w:rPr>
          <w:rFonts w:ascii="inherit" w:hAnsi="inherit" w:eastAsia="Times New Roman" w:cs="Times New Roman"/>
          <w:caps/>
          <w:color w:val="000000"/>
          <w:sz w:val="21"/>
          <w:szCs w:val="21"/>
        </w:rPr>
      </w:pPr>
      <w:r>
        <w:rPr>
          <w:rFonts w:eastAsia="Times New Roman" w:cs="Times New Roman" w:ascii="inherit" w:hAnsi="inherit"/>
          <w:caps/>
          <w:color w:val="000000"/>
          <w:sz w:val="21"/>
          <w:szCs w:val="21"/>
        </w:rPr>
        <w:t>LE MARCHÉ UNIQUE A PERMIS AUX ENTREPRISES DE RÉALISER DES ÉCONOMIES D'ÉCHELLE. LES ÉCONOMIES D'ÉCHELLE PERMETTENT</w:t>
      </w:r>
    </w:p>
    <w:p>
      <w:pPr>
        <w:pStyle w:val="ListParagraph"/>
        <w:numPr>
          <w:ilvl w:val="0"/>
          <w:numId w:val="2"/>
        </w:numPr>
        <w:spacing w:before="15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  <w:highlight w:val="yellow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  <w:highlight w:val="yellow"/>
        </w:rPr>
        <w:t>de réduire les coûts de production unitaires</w:t>
      </w:r>
    </w:p>
    <w:p>
      <w:pPr>
        <w:pStyle w:val="ListParagraph"/>
        <w:numPr>
          <w:ilvl w:val="0"/>
          <w:numId w:val="2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de réduire la quantité de facteurs de production utilisés</w:t>
      </w:r>
    </w:p>
    <w:p>
      <w:pPr>
        <w:pStyle w:val="ListParagraph"/>
        <w:numPr>
          <w:ilvl w:val="0"/>
          <w:numId w:val="2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d'améliorer la solde de la balance commerciale</w:t>
      </w:r>
    </w:p>
    <w:p>
      <w:pPr>
        <w:pStyle w:val="ListParagraph"/>
        <w:numPr>
          <w:ilvl w:val="0"/>
          <w:numId w:val="2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  <w:highlight w:val="yellow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  <w:highlight w:val="yellow"/>
        </w:rPr>
        <w:t>de baisser les prix</w:t>
      </w:r>
    </w:p>
    <w:p>
      <w:pPr>
        <w:pStyle w:val="Normal"/>
        <w:rPr>
          <w:rFonts w:ascii="Helvetica Neue" w:hAnsi="Helvetica Neue" w:eastAsia="Times New Roman" w:cs="Times New Roman"/>
          <w:b/>
          <w:bCs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b/>
          <w:bCs/>
          <w:color w:val="000000"/>
          <w:sz w:val="21"/>
          <w:szCs w:val="21"/>
        </w:rPr>
        <w:t>Question 5 / 5</w:t>
      </w:r>
    </w:p>
    <w:p>
      <w:pPr>
        <w:pStyle w:val="Normal"/>
        <w:numPr>
          <w:ilvl w:val="0"/>
          <w:numId w:val="0"/>
        </w:numPr>
        <w:spacing w:before="150" w:after="150"/>
        <w:outlineLvl w:val="3"/>
        <w:rPr>
          <w:rFonts w:ascii="inherit" w:hAnsi="inherit" w:eastAsia="Times New Roman" w:cs="Times New Roman"/>
          <w:caps/>
          <w:color w:val="000000"/>
          <w:sz w:val="21"/>
          <w:szCs w:val="21"/>
        </w:rPr>
      </w:pPr>
      <w:r>
        <w:rPr>
          <w:rFonts w:eastAsia="Times New Roman" w:cs="Times New Roman" w:ascii="inherit" w:hAnsi="inherit"/>
          <w:caps/>
          <w:color w:val="000000"/>
          <w:sz w:val="21"/>
          <w:szCs w:val="21"/>
        </w:rPr>
        <w:t>LE BREXIT</w:t>
      </w:r>
    </w:p>
    <w:p>
      <w:pPr>
        <w:pStyle w:val="ListParagraph"/>
        <w:numPr>
          <w:ilvl w:val="0"/>
          <w:numId w:val="1"/>
        </w:numPr>
        <w:spacing w:before="15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va stimuler l'implantation d'entreprises étrangères au Royaume-Uni</w:t>
      </w:r>
    </w:p>
    <w:p>
      <w:pPr>
        <w:pStyle w:val="ListParagraph"/>
        <w:numPr>
          <w:ilvl w:val="0"/>
          <w:numId w:val="1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  <w:highlight w:val="yellow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  <w:highlight w:val="yellow"/>
        </w:rPr>
        <w:t>va inciter des entreprises américaines implantées au Royaume-Uni à délocaliser leur production en Europe continentale</w:t>
      </w:r>
    </w:p>
    <w:p>
      <w:pPr>
        <w:pStyle w:val="ListParagraph"/>
        <w:numPr>
          <w:ilvl w:val="0"/>
          <w:numId w:val="1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permettra une augmentation plus rapide du niveau de vie au Royaume Uni</w:t>
      </w:r>
    </w:p>
    <w:p>
      <w:pPr>
        <w:pStyle w:val="ListParagraph"/>
        <w:numPr>
          <w:ilvl w:val="0"/>
          <w:numId w:val="1"/>
        </w:numPr>
        <w:spacing w:before="0" w:after="300"/>
        <w:contextualSpacing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  <w:t>permettra au Royaume-Uni de retrouver sa souveraineté monétaire</w:t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Helvetica Neue" w:hAnsi="Helvetica Neue"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 w:ascii="Helvetica Neue" w:hAnsi="Helvetica Neue"/>
          <w:color w:val="000000"/>
          <w:sz w:val="21"/>
          <w:szCs w:val="21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inheri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9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fr-FR" w:bidi="ar-SA"/>
    </w:rPr>
  </w:style>
  <w:style w:type="paragraph" w:styleId="Heading4">
    <w:name w:val="heading 4"/>
    <w:basedOn w:val="Normal"/>
    <w:next w:val="Normal"/>
    <w:link w:val="Titre4Car"/>
    <w:uiPriority w:val="9"/>
    <w:unhideWhenUsed/>
    <w:qFormat/>
    <w:rsid w:val="00c87954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4Car" w:customStyle="1">
    <w:name w:val="Titre 4 Car"/>
    <w:basedOn w:val="DefaultParagraphFont"/>
    <w:uiPriority w:val="9"/>
    <w:semiHidden/>
    <w:qFormat/>
    <w:rsid w:val="00c87954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apple-converted-space" w:customStyle="1">
    <w:name w:val="apple-converted-space"/>
    <w:basedOn w:val="DefaultParagraphFont"/>
    <w:qFormat/>
    <w:rsid w:val="00c87954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44f5f"/>
    <w:pPr>
      <w:spacing w:before="0" w:after="0"/>
      <w:ind w:left="720"/>
      <w:contextualSpacing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LibreOffice/24.8.6.2$Windows_X86_64 LibreOffice_project/6d98ba145e9a8a39fc57bcc76981d1fb1316c60c</Application>
  <AppVersion>15.0000</AppVersion>
  <Pages>2</Pages>
  <Words>321</Words>
  <Characters>1551</Characters>
  <CharactersWithSpaces>1825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2021-10-22T13:45:00Z</dcterms:created>
  <dc:creator>David Gaumard</dc:creator>
  <dc:description/>
  <dc:language>fr-FR</dc:language>
  <cp:lastModifiedBy/>
  <dcterms:modified xsi:type="dcterms:W3CDTF">2025-11-23T07:35:19Z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