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Méthodologie de réponse argumentée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consignes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102235</wp:posOffset>
            </wp:positionH>
            <wp:positionV relativeFrom="paragraph">
              <wp:posOffset>24765</wp:posOffset>
            </wp:positionV>
            <wp:extent cx="4105910" cy="50203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502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La méthode d’argumentation AEI </w:t>
      </w:r>
    </w:p>
    <w:p>
      <w:pPr>
        <w:pStyle w:val="Normal"/>
        <w:bidi w:val="0"/>
        <w:jc w:val="left"/>
        <w:rPr/>
      </w:pPr>
      <w:r>
        <w:rPr/>
        <w:t>(La conclusion n’est pas obligatoire)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126365</wp:posOffset>
            </wp:positionH>
            <wp:positionV relativeFrom="paragraph">
              <wp:posOffset>144780</wp:posOffset>
            </wp:positionV>
            <wp:extent cx="5172710" cy="371538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371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2</Pages>
  <Words>16</Words>
  <Characters>104</Characters>
  <CharactersWithSpaces>117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2025-12-28T23:10:10Z</dcterms:created>
  <dc:creator/>
  <dc:description/>
  <dc:language>fr-FR</dc:language>
  <cp:lastModifiedBy/>
  <dcterms:modified xsi:type="dcterms:W3CDTF">2025-12-28T23:15:06Z</dcterms:modified>
  <cp:revision>1</cp:revision>
  <dc:subject/>
  <dc:title/>
</cp:coreProperties>
</file>