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left="0" w:right="0"/>
        <w:jc w:val="left"/>
        <w:rPr>
          <w:rFonts w:ascii="Source Sans Pro" w:hAnsi="Source Sans Pro"/>
          <w:b w:val="false"/>
          <w:i w:val="false"/>
          <w:caps w:val="false"/>
          <w:smallCaps w:val="false"/>
          <w:color w:val="212121"/>
          <w:spacing w:val="0"/>
          <w:sz w:val="29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-57150</wp:posOffset>
            </wp:positionH>
            <wp:positionV relativeFrom="paragraph">
              <wp:posOffset>100965</wp:posOffset>
            </wp:positionV>
            <wp:extent cx="6120130" cy="7848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1126490</wp:posOffset>
            </wp:positionH>
            <wp:positionV relativeFrom="paragraph">
              <wp:posOffset>1053465</wp:posOffset>
            </wp:positionV>
            <wp:extent cx="3867785" cy="202882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ind w:hanging="0" w:left="0" w:right="0"/>
        <w:jc w:val="left"/>
        <w:rPr>
          <w:rFonts w:ascii="Source Sans Pro" w:hAnsi="Source Sans Pro"/>
          <w:b w:val="false"/>
          <w:i w:val="false"/>
          <w:caps w:val="false"/>
          <w:smallCaps w:val="false"/>
          <w:color w:val="212121"/>
          <w:spacing w:val="0"/>
          <w:sz w:val="29"/>
        </w:rPr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>
          <w:rFonts w:ascii="Source Sans Pro" w:hAnsi="Source Sans Pro"/>
          <w:b w:val="false"/>
          <w:i w:val="false"/>
          <w:caps w:val="false"/>
          <w:smallCaps w:val="false"/>
          <w:color w:val="212121"/>
          <w:spacing w:val="0"/>
          <w:sz w:val="29"/>
        </w:rPr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L'Union européenne (UE) et le Mercosur ont signé un accord de coopération en décembre 2024.En septembre 2025, la Commission européenne a validé le projet d'accord. Le 9 janvier 2026, les pays européens ont donné leur feu vert à sa signature à la majorité qualifiée. </w:t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 rappels,l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'alliance Mercosur est constituée de membres fondateurs : -</w:t>
      </w:r>
      <w:r>
        <w:rPr>
          <w:rStyle w:val="Strong"/>
          <w:rFonts w:ascii="Arial" w:hAnsi="Arial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l'Argentine, le Brésil, l'Uruguay et le Paraguay (le Venezuela a été suspendu en 2017) - rejoints par la Bolivie en décembre 2023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D'autres États sont membres associés : Chili, Colombie, Équateur, Guyana, Pérou et Suriname. 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 Mercosur, représente plus de 80% du PIB de l'Amérique du Sud, et est le quatrième bloc économique de libre-échange au monde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après l’ALENA, L’UE et L’RCEP (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Partenariat économique régional global en Asie avec la Chine et 14 pays de la région Asie-Pacifique.</w:t>
      </w:r>
    </w:p>
    <w:p>
      <w:pPr>
        <w:pStyle w:val="Normal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La présidente de la Commission européenne, Ursula von der Leyen, qui a, la veille, effectué une escale au Brésil où elle a rencontré le président Lula, a assisté aux côtés du président paraguayen, Santiago Peña, et de son homologue uruguayen Yamandu Orsi, à cette signature en milieu de journée. Dans un message à peine voilé à Donald Trump, elle a affirmé préférer «un commerce juste plutôt que des droits de douane ».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Heading3"/>
        <w:widowControl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L'une des plus grandes zones commerciales du monde</w:t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L’</w:t>
      </w:r>
      <w:r>
        <w:rPr>
          <w:rFonts w:ascii="Arial" w:hAnsi="Arial"/>
          <w:color w:val="000000"/>
          <w:sz w:val="24"/>
          <w:szCs w:val="24"/>
        </w:rPr>
        <w:t xml:space="preserve">accord </w:t>
      </w:r>
      <w:r>
        <w:rPr>
          <w:rFonts w:ascii="Arial" w:hAnsi="Arial"/>
          <w:color w:val="000000"/>
          <w:sz w:val="24"/>
          <w:szCs w:val="24"/>
        </w:rPr>
        <w:t xml:space="preserve"> institue l'une des plus grandes zones commerciales au monde avec plus de 700 millions de consommateurs potentiels. A Bruxelles, on espère une hausse d'environ 50 milliards d'euros des exportations vers ces pays latino-américains, en particulier pour l'automobile, les machines et équipements et les produits chimiques.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Mais des inquiétudes  </w:t>
      </w:r>
      <w:r>
        <w:rPr>
          <w:rFonts w:ascii="Arial" w:hAnsi="Arial"/>
          <w:color w:val="000000"/>
          <w:sz w:val="24"/>
          <w:szCs w:val="24"/>
        </w:rPr>
        <w:t xml:space="preserve">existent </w:t>
      </w:r>
      <w:r>
        <w:rPr>
          <w:rFonts w:ascii="Arial" w:hAnsi="Arial"/>
          <w:color w:val="000000"/>
          <w:sz w:val="24"/>
          <w:szCs w:val="24"/>
        </w:rPr>
        <w:t xml:space="preserve">car </w:t>
      </w:r>
      <w:r>
        <w:rPr>
          <w:rFonts w:ascii="Arial" w:hAnsi="Arial"/>
          <w:color w:val="000000"/>
          <w:sz w:val="24"/>
          <w:szCs w:val="24"/>
        </w:rPr>
        <w:t>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volet commercial de l'accord signé en 2019 prévoit à terme la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suppression de plus de 90% des droits de douane réciproques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entre les deux zones. 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Certains pays craignent des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effets négatifs sur des filières agricoles ou alimentaires, d'autres s'inquiètent des effets sur l'environnement et la santé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</w:rPr>
        <w:t xml:space="preserve">Il existe aussi des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alerte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sur le risque d'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accroître</w:t>
      </w:r>
      <w:r>
        <w:rPr>
          <w:rStyle w:val="Strong"/>
          <w:rFonts w:ascii="Arial" w:hAnsi="Arial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les émissions de gaz à effet de serre et la déforestation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 cas de hausse des exportations sud-américaines de viande bovine, ainsi que sur les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risques sanitaires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Style w:val="Strong"/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Les modes de production dans les pays du Mercosur et dans l'UE ne sont pas les mêmes. 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ource Sans Pro">
    <w:charset w:val="00"/>
    <w:family w:val="auto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3">
    <w:name w:val="heading 3"/>
    <w:basedOn w:val="Titre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LibreOffice/24.8.6.2$Windows_X86_64 LibreOffice_project/6d98ba145e9a8a39fc57bcc76981d1fb1316c60c</Application>
  <AppVersion>15.0000</AppVersion>
  <Pages>1</Pages>
  <Words>363</Words>
  <Characters>1896</Characters>
  <CharactersWithSpaces>2262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2026-01-18T20:58:37Z</dcterms:created>
  <dc:creator/>
  <dc:description/>
  <dc:language>fr-FR</dc:language>
  <cp:lastModifiedBy/>
  <dcterms:modified xsi:type="dcterms:W3CDTF">2026-01-18T21:43:56Z</dcterms:modified>
  <cp:revision>1</cp:revision>
  <dc:subject/>
  <dc:title/>
</cp:coreProperties>
</file>