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hanging="0" w:left="0" w:right="0"/>
        <w:jc w:val="left"/>
        <w:rPr>
          <w:rFonts w:ascii="Source Sans Pro" w:hAnsi="Source Sans Pro"/>
          <w:b w:val="false"/>
          <w:i w:val="false"/>
          <w:i w:val="false"/>
          <w:caps w:val="false"/>
          <w:smallCaps w:val="false"/>
          <w:color w:val="212121"/>
          <w:spacing w:val="0"/>
          <w:sz w:val="29"/>
        </w:rPr>
      </w:pPr>
      <w:r>
        <w:rPr>
          <w:rFonts w:ascii="Source Sans Pro" w:hAnsi="Source Sans Pro"/>
          <w:b w:val="false"/>
          <w:i w:val="false"/>
          <w:caps w:val="false"/>
          <w:smallCaps w:val="false"/>
          <w:color w:val="212121"/>
          <w:spacing w:val="0"/>
          <w:sz w:val="29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-57150</wp:posOffset>
            </wp:positionH>
            <wp:positionV relativeFrom="paragraph">
              <wp:posOffset>100965</wp:posOffset>
            </wp:positionV>
            <wp:extent cx="6120130" cy="78486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1126490</wp:posOffset>
            </wp:positionH>
            <wp:positionV relativeFrom="paragraph">
              <wp:posOffset>1053465</wp:posOffset>
            </wp:positionV>
            <wp:extent cx="3867785" cy="202882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785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ind w:hanging="0" w:left="0" w:right="0"/>
        <w:jc w:val="left"/>
        <w:rPr>
          <w:rFonts w:ascii="Source Sans Pro" w:hAnsi="Source Sans Pro"/>
          <w:b w:val="false"/>
          <w:i w:val="false"/>
          <w:i w:val="false"/>
          <w:caps w:val="false"/>
          <w:smallCaps w:val="false"/>
          <w:color w:val="212121"/>
          <w:spacing w:val="0"/>
          <w:sz w:val="29"/>
        </w:rPr>
      </w:pPr>
      <w:r>
        <w:rPr>
          <w:rFonts w:ascii="Source Sans Pro" w:hAnsi="Source Sans Pro"/>
          <w:b w:val="false"/>
          <w:i w:val="false"/>
          <w:caps w:val="false"/>
          <w:smallCaps w:val="false"/>
          <w:color w:val="212121"/>
          <w:spacing w:val="0"/>
          <w:sz w:val="29"/>
        </w:rPr>
      </w:r>
    </w:p>
    <w:p>
      <w:pPr>
        <w:pStyle w:val="Normal"/>
        <w:widowControl/>
        <w:bidi w:val="0"/>
        <w:ind w:hanging="0" w:left="0" w:right="0"/>
        <w:jc w:val="left"/>
        <w:rPr>
          <w:rFonts w:ascii="Source Sans Pro" w:hAnsi="Source Sans Pro"/>
          <w:b w:val="false"/>
          <w:i w:val="false"/>
          <w:i w:val="false"/>
          <w:caps w:val="false"/>
          <w:smallCaps w:val="false"/>
          <w:color w:val="212121"/>
          <w:spacing w:val="0"/>
          <w:sz w:val="29"/>
        </w:rPr>
      </w:pPr>
      <w:r>
        <w:rPr>
          <w:rFonts w:ascii="Source Sans Pro" w:hAnsi="Source Sans Pro"/>
          <w:b w:val="false"/>
          <w:i w:val="false"/>
          <w:caps w:val="false"/>
          <w:smallCaps w:val="false"/>
          <w:color w:val="212121"/>
          <w:spacing w:val="0"/>
          <w:sz w:val="29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L'Union européenne (UE) et le Mercosur ont signé un accord de coopération en décembre 2024.En septembre 2025, la Commission européenne a validé le projet d'accord. Le 9 janvier 2026, les pays européens ont donné leur feu vert à sa signature à la majorité qualifiée. </w:t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ind w:hanging="0" w:left="0" w:right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En rappels,l'alliance Mercosur est constituée de membres fondateurs : -</w:t>
      </w:r>
      <w:r>
        <w:rPr>
          <w:rStyle w:val="Strong"/>
          <w:rFonts w:ascii="Arial" w:hAnsi="Arial"/>
          <w:i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l'Argentine, le Brésil, l'Uruguay et le Paraguay (le Venezuela a été suspendu en 2017) - rejoints par la Bolivie en décembre 2023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D'autres États sont membres associés : Chili, Colombie, Équateur, Guyana, Pérou et Suriname. </w:t>
      </w:r>
    </w:p>
    <w:p>
      <w:pPr>
        <w:pStyle w:val="Normal"/>
        <w:widowControl/>
        <w:bidi w:val="0"/>
        <w:ind w:hanging="0" w:left="0" w:right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Le Mercosur, représente plus de 80% du PIB de l'Amérique du Sud, et est le quatrième bloc économique de libre-échange au monde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après l’ALENA, L’UE et L’RCEP (Partenariat économique régional global en Asie avec la Chine et 14 pays de la région Asie-Pacifique.</w:t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La présidente de la Commission européenne, Ursula von der Leyen, qui a, la veille, effectué une escale au Brésil où elle a rencontré le président Lula, a assisté aux côtés du président paraguayen, Santiago Peña, et de son homologue uruguayen Yamandu Orsi, à cette signature en milieu de journée. Dans un message à peine voilé à Donald Trump, elle a affirmé préférer «un commerce juste plutôt que des droits de douane ».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widowControl/>
        <w:bidi w:val="0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Heading3"/>
        <w:widowControl/>
        <w:bidi w:val="0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L'une des plus grandes zones commerciales du monde</w:t>
      </w:r>
    </w:p>
    <w:p>
      <w:pPr>
        <w:pStyle w:val="BodyText"/>
        <w:bidi w:val="0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L’accord  institue l'une des plus grandes zones commerciales au monde avec plus de 700 millions de consommateurs potentiels. A Bruxelles, on espère une hausse d'environ 50 milliards d'euros des exportations vers ces pays latino-américains, en particulier pour l'automobile, les machines et équipements et les produits chimiques.</w:t>
      </w:r>
    </w:p>
    <w:p>
      <w:pPr>
        <w:pStyle w:val="Normal"/>
        <w:widowControl/>
        <w:bidi w:val="0"/>
        <w:ind w:hanging="0" w:left="0" w:right="0"/>
        <w:jc w:val="left"/>
        <w:rPr/>
      </w:pPr>
      <w:r>
        <w:rPr>
          <w:rFonts w:ascii="Arial" w:hAnsi="Arial"/>
          <w:color w:val="000000"/>
          <w:sz w:val="24"/>
          <w:szCs w:val="24"/>
        </w:rPr>
        <w:t>Mais des inquiétudes  existent car l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 volet commercial de l'accord signé en 2019 prévoit à terme la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suppression de plus de 90% des droits de douane réciproques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entre les deux zones. 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Certains pays craignent des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effets négatifs sur des filières agricoles ou alimentaires, d'autres s'inquiètent des effets sur l'environnement et la santé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Arial" w:hAnsi="Arial"/>
          <w:color w:val="000000"/>
          <w:sz w:val="24"/>
          <w:szCs w:val="24"/>
        </w:rPr>
        <w:t xml:space="preserve">  Il existe aussi des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alertes sur le risque d'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accroître</w:t>
      </w:r>
      <w:r>
        <w:rPr>
          <w:rStyle w:val="Strong"/>
          <w:rFonts w:ascii="Arial" w:hAnsi="Arial"/>
          <w:color w:val="000000"/>
          <w:spacing w:val="0"/>
          <w:sz w:val="24"/>
          <w:szCs w:val="24"/>
        </w:rPr>
        <w:t>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les émissions de gaz à effet de serre et la déforestation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en cas de hausse des exportations sud-américaines de viande bovine, ainsi que sur les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risques sanitaires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Style w:val="Strong"/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Les modes de production dans les pays du Mercosur et dans l'UE ne sont pas les mêmes. 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ource Sans Pro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Heading3">
    <w:name w:val="heading 3"/>
    <w:basedOn w:val="Titreuser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LibreOffice/24.8.6.2$Windows_X86_64 LibreOffice_project/6d98ba145e9a8a39fc57bcc76981d1fb1316c60c</Application>
  <AppVersion>15.0000</AppVersion>
  <Pages>1</Pages>
  <Words>363</Words>
  <Characters>1896</Characters>
  <CharactersWithSpaces>2262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2026-01-18T20:58:37Z</dcterms:created>
  <dc:creator/>
  <dc:description/>
  <dc:language>fr-FR</dc:language>
  <cp:lastModifiedBy/>
  <dcterms:modified xsi:type="dcterms:W3CDTF">2026-01-18T21:43:56Z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