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pBdr/>
        <w:bidi w:val="0"/>
        <w:spacing w:lineRule="exact" w:line="314" w:before="0" w:after="0"/>
        <w:ind w:hanging="0" w:left="0" w:right="0"/>
        <w:jc w:val="left"/>
        <w:rPr>
          <w:rFonts w:ascii="Arial" w:hAnsi="Arial"/>
          <w:b/>
          <w:color w:val="000000"/>
          <w:spacing w:val="0"/>
        </w:rPr>
        <w:framePr w:w="2896" w:h="628" w:x="2284" w:y="151" w:hSpace="0" w:vSpace="0" w:wrap="notBeside" w:vAnchor="text" w:hAnchor="text" w:hRule="exact"/>
      </w:pPr>
      <w:r>
        <w:rPr>
          <w:rFonts w:ascii="Arial" w:hAnsi="Arial"/>
          <w:b/>
          <w:color w:val="000000"/>
          <w:spacing w:val="0"/>
        </w:rPr>
        <w:t>Classe de Terminale</w:t>
      </w:r>
    </w:p>
    <w:p>
      <w:pPr>
        <w:pStyle w:val="Normal"/>
        <w:widowControl w:val="false"/>
        <w:pBdr/>
        <w:bidi w:val="0"/>
        <w:spacing w:lineRule="exact" w:line="314" w:before="0" w:after="0"/>
        <w:ind w:hanging="0" w:left="0" w:right="0"/>
        <w:jc w:val="left"/>
        <w:rPr>
          <w:sz w:val="26"/>
          <w:szCs w:val="26"/>
        </w:rPr>
        <w:framePr w:w="2896" w:h="628" w:x="2284" w:y="151" w:hSpace="0" w:vSpace="0" w:wrap="notBeside" w:vAnchor="text" w:hAnchor="text" w:hRule="exact"/>
      </w:pPr>
      <w:r>
        <w:rPr>
          <w:rFonts w:ascii="Arial" w:hAnsi="Arial"/>
          <w:b/>
          <w:color w:val="000000"/>
          <w:spacing w:val="0"/>
          <w:sz w:val="26"/>
          <w:szCs w:val="26"/>
        </w:rPr>
        <w:t>QUESTIONNEMENT  3</w:t>
      </w:r>
    </w:p>
    <w:p>
      <w:pPr>
        <w:pStyle w:val="Normal"/>
        <w:widowControl w:val="false"/>
        <w:pBdr/>
        <w:bidi w:val="0"/>
        <w:spacing w:lineRule="exact" w:line="201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18"/>
        </w:rPr>
        <w:framePr w:w="8161" w:h="201" w:x="7594" w:y="414" w:hSpace="0" w:vSpace="0" w:wrap="notBeside" w:vAnchor="text" w:hAnchor="text" w:hRule="exact"/>
      </w:pPr>
      <w:r>
        <w:rPr>
          <w:rFonts w:ascii="Arial" w:hAnsi="Arial"/>
          <w:b/>
          <w:color w:val="000000"/>
          <w:spacing w:val="0"/>
          <w:sz w:val="18"/>
          <w:u w:val="single"/>
        </w:rPr>
        <w:t>Sciences Economiques</w:t>
      </w:r>
      <w:r>
        <w:rPr>
          <w:rFonts w:ascii="Arial" w:hAnsi="Arial"/>
          <w:b/>
          <w:color w:val="000000"/>
          <w:spacing w:val="2"/>
          <w:sz w:val="18"/>
        </w:rPr>
        <w:t xml:space="preserve"> </w:t>
      </w:r>
      <w:r>
        <w:rPr>
          <w:rFonts w:ascii="Arial" w:hAnsi="Arial"/>
          <w:b/>
          <w:color w:val="000000"/>
          <w:spacing w:val="0"/>
          <w:sz w:val="18"/>
        </w:rPr>
        <w:t>:</w:t>
      </w:r>
      <w:r>
        <w:rPr>
          <w:rFonts w:ascii="Arial" w:hAnsi="Arial"/>
          <w:b/>
          <w:color w:val="000000"/>
          <w:spacing w:val="-2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0"/>
          <w:sz w:val="18"/>
        </w:rPr>
        <w:t>Quelles politiques économiques dans le cadre européen?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widowControl w:val="false"/>
        <w:pBdr/>
        <w:bidi w:val="0"/>
        <w:spacing w:lineRule="exact" w:line="314" w:before="0" w:after="0"/>
        <w:ind w:hanging="0" w:left="0" w:right="0"/>
        <w:jc w:val="left"/>
        <w:rPr>
          <w:sz w:val="36"/>
          <w:szCs w:val="36"/>
        </w:rPr>
        <w:framePr w:w="802" w:h="314" w:x="638" w:y="344" w:hSpace="0" w:vSpace="0" w:wrap="notBeside" w:vAnchor="margin" w:hAnchor="text" w:hRule="exact"/>
      </w:pPr>
      <w:r>
        <w:rPr>
          <w:rFonts w:ascii="Arial" w:hAnsi="Arial"/>
          <w:b/>
          <w:color w:val="000000"/>
          <w:spacing w:val="0"/>
          <w:sz w:val="36"/>
          <w:szCs w:val="36"/>
        </w:rPr>
        <w:t>SES</w:t>
      </w:r>
    </w:p>
    <w:p>
      <w:pPr>
        <w:pStyle w:val="Normal"/>
        <w:widowControl w:val="false"/>
        <w:pBdr/>
        <w:bidi w:val="0"/>
        <w:spacing w:lineRule="exact" w:line="221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0"/>
        </w:rPr>
        <w:framePr w:w="421" w:h="221" w:x="518" w:y="789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20"/>
        </w:rPr>
        <w:t>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rFonts w:ascii="Arial" w:hAnsi="Arial"/>
          <w:color w:val="000000"/>
          <w:spacing w:val="0"/>
          <w:sz w:val="16"/>
        </w:rPr>
        <w:framePr w:w="15632" w:h="180" w:x="746" w:y="822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6"/>
        </w:rPr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rFonts w:ascii="Arial" w:hAnsi="Arial"/>
          <w:color w:val="000000"/>
          <w:spacing w:val="0"/>
        </w:rPr>
        <w:framePr w:w="16019" w:h="1144" w:x="516" w:y="568" w:hSpace="0" w:vSpace="0" w:wrap="notBeside" w:vAnchor="text" w:hAnchor="text" w:hRule="exact"/>
      </w:pPr>
      <w:r>
        <w:rPr>
          <w:rFonts w:ascii="Arial" w:hAnsi="Arial"/>
          <w:color w:val="000000"/>
          <w:spacing w:val="0"/>
        </w:rPr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b/>
          <w:bCs/>
          <w:color w:val="000000"/>
          <w:sz w:val="16"/>
          <w:szCs w:val="16"/>
          <w:highlight w:val="none"/>
          <w:shd w:fill="FF8000" w:val="clear"/>
        </w:rPr>
        <w:framePr w:w="16019" w:h="1144" w:x="516" w:y="568" w:hSpace="0" w:vSpace="0" w:wrap="notBeside" w:vAnchor="text" w:hAnchor="text" w:hRule="exact"/>
      </w:pPr>
      <w:r>
        <w:rPr>
          <w:rFonts w:ascii="Arial" w:hAnsi="Arial"/>
          <w:b/>
          <w:bCs/>
          <w:color w:val="000000"/>
          <w:spacing w:val="0"/>
          <w:sz w:val="16"/>
          <w:szCs w:val="16"/>
          <w:shd w:fill="FF8000" w:val="clear"/>
        </w:rPr>
        <w:t>Actualité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right"/>
        <w:rPr/>
        <w:framePr w:w="16019" w:h="1144" w:x="516" w:y="568" w:hSpace="0" w:vSpace="0" w:wrap="notBeside" w:vAnchor="text" w:hAnchor="text" w:hRule="exact"/>
      </w:pPr>
      <w:r>
        <w:rPr>
          <w:rFonts w:ascii="Arial" w:hAnsi="Arial"/>
          <w:b/>
          <w:bCs/>
          <w:color w:val="000000"/>
          <w:spacing w:val="0"/>
          <w:sz w:val="14"/>
          <w:szCs w:val="14"/>
        </w:rPr>
        <w:t>T</w:t>
      </w:r>
      <w:r>
        <w:rPr>
          <w:rFonts w:ascii="Arial" w:hAnsi="Arial"/>
          <w:b/>
          <w:bCs/>
          <w:color w:val="8D1D75"/>
          <w:spacing w:val="0"/>
          <w:sz w:val="14"/>
          <w:szCs w:val="14"/>
        </w:rPr>
        <w:t>AUX DE CROISSANCE DE L ‘UE POUR 2025 = 1,5 % d’après l’INSEE</w:t>
      </w:r>
      <w:r>
        <w:rPr>
          <w:rFonts w:ascii="Arial" w:hAnsi="Arial"/>
          <w:b/>
          <w:bCs/>
          <w:color w:val="8D1D75"/>
          <w:spacing w:val="0"/>
          <w:sz w:val="18"/>
          <w:szCs w:val="18"/>
        </w:rPr>
        <w:t xml:space="preserve">                                                                           </w:t>
      </w:r>
      <w:r>
        <w:rPr>
          <w:rFonts w:ascii="Arial" w:hAnsi="Arial"/>
          <w:b w:val="false"/>
          <w:bCs w:val="false"/>
          <w:color w:val="BBE33D"/>
          <w:spacing w:val="0"/>
          <w:sz w:val="18"/>
          <w:szCs w:val="18"/>
        </w:rPr>
        <w:t xml:space="preserve">               Les défis de l’U.E :</w:t>
      </w:r>
      <w:r>
        <w:rPr>
          <w:rFonts w:ascii="Arial" w:hAnsi="Arial"/>
          <w:b/>
          <w:bCs/>
          <w:color w:val="8D1D75"/>
          <w:spacing w:val="0"/>
          <w:sz w:val="18"/>
          <w:szCs w:val="18"/>
        </w:rPr>
        <w:t xml:space="preserve"> Europe politique : réel pouvoir supranational, politiques               communes, union politique pour réduire les inégalités dans l’UE. </w:t>
      </w:r>
    </w:p>
    <w:p>
      <w:pPr>
        <w:pStyle w:val="Heading1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sz w:val="12"/>
          <w:szCs w:val="12"/>
        </w:rPr>
        <w:framePr w:w="16019" w:h="1144" w:x="516" w:y="568" w:hSpace="0" w:vSpace="0" w:wrap="notBeside" w:vAnchor="text" w:hAnchor="text" w:hRule="exact"/>
      </w:pPr>
      <w:r>
        <w:rPr>
          <w:rFonts w:ascii="Arial" w:hAnsi="Arial"/>
          <w:b/>
          <w:bCs/>
          <w:i w:val="false"/>
          <w:caps w:val="false"/>
          <w:smallCaps w:val="false"/>
          <w:color w:val="8D1D75"/>
          <w:spacing w:val="0"/>
          <w:sz w:val="14"/>
          <w:szCs w:val="14"/>
        </w:rPr>
        <w:t>Zone euro : la Banque centrale européenne baisse son principal taux à 2,25% en avril 2025 (source : vie publique)</w:t>
      </w:r>
    </w:p>
    <w:p>
      <w:pPr>
        <w:pStyle w:val="BodyText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rFonts w:ascii="Marianne;arial;sans-serif" w:hAnsi="Marianne;arial;sans-serif"/>
          <w:b w:val="false"/>
          <w:i w:val="false"/>
          <w:i w:val="false"/>
          <w:caps w:val="false"/>
          <w:smallCaps w:val="false"/>
          <w:color w:val="161616"/>
          <w:spacing w:val="0"/>
          <w:sz w:val="14"/>
          <w:szCs w:val="14"/>
        </w:rPr>
        <w:framePr w:w="16019" w:h="1144" w:x="516" w:y="568" w:hSpace="0" w:vSpace="0" w:wrap="notBeside" w:vAnchor="text" w:hAnchor="text" w:hRule="exact"/>
      </w:pPr>
      <w:r>
        <w:rPr>
          <w:rFonts w:ascii="Marianne;arial;sans-serif" w:hAnsi="Marianne;arial;sans-serif"/>
          <w:b w:val="false"/>
          <w:bCs/>
          <w:i w:val="false"/>
          <w:caps w:val="false"/>
          <w:smallCaps w:val="false"/>
          <w:color w:val="3A3A3A"/>
          <w:spacing w:val="0"/>
          <w:sz w:val="12"/>
          <w:szCs w:val="12"/>
        </w:rPr>
        <w:t>Le taux d'</w:t>
      </w:r>
      <w:hyperlink r:id="rId3">
        <w:r>
          <w:rPr>
            <w:rStyle w:val="Hyperlink"/>
            <w:rFonts w:ascii="Arial" w:hAnsi="Arial"/>
            <w:b/>
            <w:bCs/>
            <w:i w:val="false"/>
            <w:caps w:val="false"/>
            <w:smallCaps w:val="false"/>
            <w:color w:val="8D1D75"/>
            <w:spacing w:val="0"/>
            <w:sz w:val="12"/>
            <w:szCs w:val="12"/>
            <w:shd w:fill="FFFFFF" w:val="clear"/>
          </w:rPr>
          <w:t>inflation</w:t>
        </w:r>
      </w:hyperlink>
      <w:r>
        <w:rPr>
          <w:rFonts w:ascii="Arial" w:hAnsi="Arial"/>
          <w:b/>
          <w:bCs/>
          <w:i w:val="false"/>
          <w:caps w:val="false"/>
          <w:smallCaps w:val="false"/>
          <w:color w:val="3A3A3A"/>
          <w:spacing w:val="0"/>
          <w:sz w:val="12"/>
          <w:szCs w:val="12"/>
        </w:rPr>
        <w:t> </w:t>
      </w:r>
      <w:r>
        <w:rPr>
          <w:rFonts w:ascii="Marianne;arial;sans-serif" w:hAnsi="Marianne;arial;sans-serif"/>
          <w:b w:val="false"/>
          <w:bCs/>
          <w:i w:val="false"/>
          <w:caps w:val="false"/>
          <w:smallCaps w:val="false"/>
          <w:color w:val="3A3A3A"/>
          <w:spacing w:val="0"/>
          <w:sz w:val="12"/>
          <w:szCs w:val="12"/>
        </w:rPr>
        <w:t>annuel de la </w:t>
      </w:r>
      <w:hyperlink r:id="rId4">
        <w:r>
          <w:rPr>
            <w:rStyle w:val="Hyperlink"/>
            <w:rFonts w:ascii="Arial" w:hAnsi="Arial"/>
            <w:b/>
            <w:bCs/>
            <w:i w:val="false"/>
            <w:caps w:val="false"/>
            <w:smallCaps w:val="false"/>
            <w:color w:val="8D1D75"/>
            <w:spacing w:val="0"/>
            <w:sz w:val="12"/>
            <w:szCs w:val="12"/>
            <w:shd w:fill="FFFFFF" w:val="clear"/>
          </w:rPr>
          <w:t>zone euro</w:t>
        </w:r>
      </w:hyperlink>
      <w:r>
        <w:rPr>
          <w:rFonts w:ascii="Arial" w:hAnsi="Arial"/>
          <w:b/>
          <w:bCs/>
          <w:i w:val="false"/>
          <w:caps w:val="false"/>
          <w:smallCaps w:val="false"/>
          <w:color w:val="3A3A3A"/>
          <w:spacing w:val="0"/>
          <w:sz w:val="12"/>
          <w:szCs w:val="12"/>
        </w:rPr>
        <w:t> </w:t>
      </w:r>
      <w:r>
        <w:rPr>
          <w:rFonts w:ascii="Marianne;arial;sans-serif" w:hAnsi="Marianne;arial;sans-serif"/>
          <w:b w:val="false"/>
          <w:bCs/>
          <w:i w:val="false"/>
          <w:caps w:val="false"/>
          <w:smallCaps w:val="false"/>
          <w:color w:val="3A3A3A"/>
          <w:spacing w:val="0"/>
          <w:sz w:val="12"/>
          <w:szCs w:val="12"/>
        </w:rPr>
        <w:t>s'est établi à </w:t>
      </w:r>
      <w:hyperlink r:id="rId5" w:tgtFrame="_blank">
        <w:r>
          <w:rPr>
            <w:rStyle w:val="Hyperlink"/>
            <w:rFonts w:ascii="Arial" w:hAnsi="Arial"/>
            <w:b/>
            <w:bCs/>
            <w:i w:val="false"/>
            <w:caps w:val="false"/>
            <w:smallCaps w:val="false"/>
            <w:color w:val="8D1D75"/>
            <w:spacing w:val="0"/>
            <w:sz w:val="12"/>
            <w:szCs w:val="12"/>
            <w:shd w:fill="FFFFFF" w:val="clear"/>
          </w:rPr>
          <w:t>2,2%</w:t>
        </w:r>
      </w:hyperlink>
      <w:r>
        <w:rPr>
          <w:rFonts w:ascii="Arial" w:hAnsi="Arial"/>
          <w:b/>
          <w:bCs/>
          <w:i w:val="false"/>
          <w:caps w:val="false"/>
          <w:smallCaps w:val="false"/>
          <w:color w:val="3A3A3A"/>
          <w:spacing w:val="0"/>
          <w:sz w:val="12"/>
          <w:szCs w:val="12"/>
        </w:rPr>
        <w:t> </w:t>
      </w:r>
      <w:r>
        <w:rPr>
          <w:rFonts w:ascii="Marianne;arial;sans-serif" w:hAnsi="Marianne;arial;sans-serif"/>
          <w:b w:val="false"/>
          <w:bCs/>
          <w:i w:val="false"/>
          <w:caps w:val="false"/>
          <w:smallCaps w:val="false"/>
          <w:color w:val="3A3A3A"/>
          <w:spacing w:val="0"/>
          <w:sz w:val="12"/>
          <w:szCs w:val="12"/>
        </w:rPr>
        <w:t>en mars 2025</w:t>
      </w:r>
      <w:r>
        <w:rPr>
          <w:rFonts w:ascii="Arial" w:hAnsi="Arial"/>
          <w:b/>
          <w:bCs/>
          <w:i w:val="false"/>
          <w:caps w:val="false"/>
          <w:smallCaps w:val="false"/>
          <w:color w:val="8D1D75"/>
          <w:spacing w:val="0"/>
          <w:sz w:val="12"/>
          <w:szCs w:val="12"/>
        </w:rPr>
        <w:t xml:space="preserve"> (source : vie publique)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b/>
          <w:bCs/>
          <w:color w:val="000000"/>
          <w:sz w:val="18"/>
          <w:szCs w:val="18"/>
        </w:rPr>
        <w:framePr w:w="16019" w:h="1144" w:x="516" w:y="568" w:hSpace="0" w:vSpace="0" w:wrap="notBeside" w:vAnchor="text" w:hAnchor="text" w:hRule="exact"/>
      </w:pPr>
      <w:r>
        <w:rPr>
          <w:b/>
          <w:bCs/>
          <w:color w:val="000000"/>
          <w:sz w:val="18"/>
          <w:szCs w:val="18"/>
        </w:rPr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b/>
          <w:bCs/>
          <w:color w:val="8D1D75"/>
          <w:sz w:val="16"/>
          <w:szCs w:val="16"/>
        </w:rPr>
        <w:framePr w:w="16019" w:h="1144" w:x="516" w:y="568" w:hSpace="0" w:vSpace="0" w:wrap="notBeside" w:vAnchor="text" w:hAnchor="text" w:hRule="exact"/>
      </w:pPr>
      <w:r>
        <w:rPr>
          <w:rFonts w:ascii="Open Sans;Open Sans fallback;Helvetica;Arial;sans-serif" w:hAnsi="Open Sans;Open Sans fallback;Helvetica;Arial;sans-serif"/>
          <w:b/>
          <w:bCs/>
          <w:i w:val="false"/>
          <w:caps w:val="false"/>
          <w:smallCaps w:val="false"/>
          <w:color w:val="8D1D75"/>
          <w:spacing w:val="0"/>
          <w:sz w:val="16"/>
          <w:szCs w:val="16"/>
        </w:rPr>
        <w:t>Les dépenses liées à la recherche et développement équivalaient à 3%  du PIB de l’UE  en 2022 D’après L’INSEE 2025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b/>
          <w:bCs/>
          <w:color w:val="8D1D75"/>
          <w:sz w:val="16"/>
          <w:szCs w:val="16"/>
        </w:rPr>
        <w:framePr w:w="16019" w:h="1144" w:x="516" w:y="568" w:hSpace="0" w:vSpace="0" w:wrap="notBeside" w:vAnchor="text" w:hAnchor="text" w:hRule="exact"/>
      </w:pPr>
      <w:r>
        <w:rPr>
          <w:b/>
          <w:bCs/>
          <w:color w:val="8D1D75"/>
          <w:sz w:val="16"/>
          <w:szCs w:val="16"/>
        </w:rPr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rFonts w:ascii="Arial" w:hAnsi="Arial"/>
          <w:color w:val="000000"/>
          <w:spacing w:val="0"/>
          <w:sz w:val="16"/>
        </w:rPr>
        <w:framePr w:w="16019" w:h="1144" w:x="516" w:y="568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16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3751" w:h="1354" w:x="544" w:y="1700" w:hSpace="0" w:vSpace="0" w:wrap="notBeside" w:vAnchor="text" w:hAnchor="text" w:hRule="exact"/>
      </w:pPr>
      <w:r>
        <w:rPr>
          <w:b/>
          <w:color w:val="000000"/>
          <w:spacing w:val="0"/>
          <w:sz w:val="17"/>
        </w:rPr>
        <w:t xml:space="preserve">Objectif initial : intégration politique pour favoriser la paix, tout en rendant les pays interdépendants économiquement. Mais face aux réticences des Etats à abandonner leur souveraineté, l’intégration économique a été privilégiée.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3751" w:h="1354" w:x="544" w:y="1700" w:hSpace="0" w:vSpace="0" w:wrap="notBeside" w:vAnchor="text" w:hAnchor="text" w:hRule="exact"/>
      </w:pPr>
      <w:r>
        <w:rPr>
          <w:b/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color w:val="FF8000"/>
        </w:rPr>
        <w:framePr w:w="6213" w:h="3461" w:x="4517" w:y="1694" w:hSpace="0" w:vSpace="0" w:wrap="notBeside" w:vAnchor="margin" w:hAnchor="text" w:hRule="exact"/>
      </w:pPr>
      <w:r>
        <w:rPr>
          <w:b/>
          <w:color w:val="FF8000"/>
          <w:spacing w:val="0"/>
          <w:sz w:val="17"/>
        </w:rPr>
        <w:t xml:space="preserve"> </w:t>
      </w:r>
      <w:r>
        <w:rPr>
          <w:b/>
          <w:color w:val="FF8000"/>
          <w:spacing w:val="0"/>
          <w:sz w:val="17"/>
        </w:rPr>
        <w:t xml:space="preserve">Les effets du marché unique sur la croissance :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6213" w:h="3461" w:x="4517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6213" w:h="3461" w:x="4517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 xml:space="preserve">• </w:t>
      </w:r>
      <w:r>
        <w:rPr>
          <w:b/>
          <w:color w:val="000000"/>
          <w:spacing w:val="0"/>
          <w:sz w:val="17"/>
        </w:rPr>
        <w:t>Suppression des droits de douane (produits moins chers : pour les consommateurs et les entreprises (consommations intermédiaires).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6213" w:h="3461" w:x="4517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 xml:space="preserve"> • </w:t>
      </w:r>
      <w:r>
        <w:rPr>
          <w:b/>
          <w:color w:val="000000"/>
          <w:spacing w:val="0"/>
          <w:sz w:val="17"/>
        </w:rPr>
        <w:t xml:space="preserve">Concurrence par les prix favorisée : recherche de compétitivité-prix et hors-prix (entreprise), hausse du pouvoir d’achat (consommateurs) et diversité des produits offerts donc hausse de la demande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6213" w:h="3461" w:x="4517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 xml:space="preserve"> • </w:t>
      </w:r>
      <w:r>
        <w:rPr>
          <w:b/>
          <w:color w:val="000000"/>
          <w:spacing w:val="0"/>
          <w:sz w:val="17"/>
        </w:rPr>
        <w:t>Extension du marché → économies d’échelle (compétitivité-prix) et hausse des ventes avec baisse des prix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6213" w:h="3461" w:x="4517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 xml:space="preserve">• </w:t>
      </w:r>
      <w:r>
        <w:rPr>
          <w:b/>
          <w:color w:val="000000"/>
          <w:spacing w:val="0"/>
          <w:sz w:val="17"/>
        </w:rPr>
        <w:t xml:space="preserve">Rattrapage des niveaux de vie pour les pays les moins avancés avant l’élargissement aux pays de l’Est.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6213" w:h="3461" w:x="4517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 xml:space="preserve">• </w:t>
      </w:r>
      <w:r>
        <w:rPr>
          <w:b/>
          <w:color w:val="000000"/>
          <w:spacing w:val="0"/>
          <w:sz w:val="17"/>
        </w:rPr>
        <w:t>+ Mise en place de l’Euro : fin des commissions de change (taux de change des conversions de devises) et réduction de l’incertitude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6213" w:h="3461" w:x="4517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color w:val="FF8000"/>
        </w:rPr>
        <w:framePr w:w="6213" w:h="3461" w:x="4517" w:y="1694" w:hSpace="0" w:vSpace="0" w:wrap="notBeside" w:vAnchor="margin" w:hAnchor="text" w:hRule="exact"/>
      </w:pPr>
      <w:r>
        <w:rPr>
          <w:b/>
          <w:color w:val="FF8000"/>
          <w:spacing w:val="0"/>
          <w:sz w:val="17"/>
        </w:rPr>
        <w:t xml:space="preserve">  </w:t>
      </w:r>
      <w:r>
        <w:rPr>
          <w:b/>
          <w:color w:val="FF8000"/>
          <w:spacing w:val="0"/>
          <w:sz w:val="17"/>
        </w:rPr>
        <w:t xml:space="preserve">Favorable à la demande, la production et l’emploi dans l’UE.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4229" w:h="341" w:x="11181" w:y="1515" w:hSpace="0" w:vSpace="0" w:wrap="notBeside" w:vAnchor="text" w:hAnchor="text" w:hRule="exact"/>
      </w:pPr>
      <w:r>
        <w:rPr>
          <w:b/>
          <w:color w:val="000000"/>
          <w:spacing w:val="0"/>
          <w:sz w:val="17"/>
        </w:rPr>
        <w:t>LES POLITIQUES ECONOMQUES DANS LA ZONE EURO</w:t>
      </w:r>
    </w:p>
    <w:p>
      <w:pPr>
        <w:pStyle w:val="Normal"/>
        <w:widowControl w:val="false"/>
        <w:pBdr/>
        <w:bidi w:val="0"/>
        <w:spacing w:lineRule="exact" w:line="18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92" w:h="189" w:x="641" w:y="2102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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/>
        <w:framePr w:w="4889" w:h="5451" w:x="11181" w:y="1855" w:hSpace="0" w:vSpace="0" w:wrap="notBeside" w:vAnchor="text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none"/>
        </w:rPr>
        <w:t xml:space="preserve">Les pouvoirs publics mettent en oeuvre des politiques pour agir sur la conjoncture : améliorer la croissance, faire baisser le chômage, réduire l’inflation, rétablir les finances publiques, etc.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4889" w:h="5451" w:x="11181" w:y="1855" w:hSpace="0" w:vSpace="0" w:wrap="notBeside" w:vAnchor="text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 xml:space="preserve">Les politiques conjoncturelles :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4889" w:h="5451" w:x="11181" w:y="1855" w:hSpace="0" w:vSpace="0" w:wrap="notBeside" w:vAnchor="text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none"/>
        </w:rPr>
        <w:t xml:space="preserve">• </w:t>
      </w:r>
      <w:r>
        <w:rPr>
          <w:rFonts w:cs="KOGPPQ+Wingdings" w:ascii="KOGPPQ+Wingdings" w:hAnsi="KOGPPQ+Wingdings"/>
          <w:color w:val="000000"/>
          <w:spacing w:val="0"/>
          <w:sz w:val="17"/>
          <w:u w:val="none"/>
        </w:rPr>
        <w:t>Politique budgétaire = action des pouvoirs publics sur l’activité, qui passe par une modification des prélèvements obligatoires et/ou des dépenses publiques.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4889" w:h="5451" w:x="11181" w:y="1855" w:hSpace="0" w:vSpace="0" w:wrap="notBeside" w:vAnchor="text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 xml:space="preserve"> •</w:t>
      </w:r>
      <w:r>
        <w:rPr>
          <w:rFonts w:cs="KOGPPQ+Wingdings" w:ascii="KOGPPQ+Wingdings" w:hAnsi="KOGPPQ+Wingdings"/>
          <w:color w:val="000000"/>
          <w:spacing w:val="0"/>
          <w:sz w:val="17"/>
          <w:u w:val="none"/>
        </w:rPr>
        <w:t xml:space="preserve"> </w:t>
      </w:r>
      <w:r>
        <w:rPr>
          <w:rFonts w:cs="KOGPPQ+Wingdings" w:ascii="KOGPPQ+Wingdings" w:hAnsi="KOGPPQ+Wingdings"/>
          <w:color w:val="000000"/>
          <w:spacing w:val="0"/>
          <w:sz w:val="17"/>
          <w:u w:val="none"/>
        </w:rPr>
        <w:t>Politique monétaire = action de la Banque Centrale pour réguler la quantité de monnaie et les taux d’intérêt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u w:val="none"/>
        </w:rPr>
        <w:framePr w:w="4889" w:h="5451" w:x="11181" w:y="1855" w:hSpace="0" w:vSpace="0" w:wrap="notBeside" w:vAnchor="text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none"/>
        </w:rPr>
        <w:t xml:space="preserve"> • </w:t>
      </w:r>
      <w:r>
        <w:rPr>
          <w:rFonts w:cs="KOGPPQ+Wingdings" w:ascii="KOGPPQ+Wingdings" w:hAnsi="KOGPPQ+Wingdings"/>
          <w:color w:val="000000"/>
          <w:spacing w:val="0"/>
          <w:sz w:val="17"/>
          <w:u w:val="none"/>
        </w:rPr>
        <w:t xml:space="preserve">Les politiques conjoncturelles  montéaires sont sous contrôle : de  la BCE (objectif prioritaire : lutte contre l’inflation &lt; 2 % par an)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u w:val="none"/>
        </w:rPr>
        <w:framePr w:w="4889" w:h="5451" w:x="11181" w:y="1855" w:hSpace="0" w:vSpace="0" w:wrap="notBeside" w:vAnchor="text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none"/>
        </w:rPr>
        <w:t xml:space="preserve">- les Politiques budgétaires sont  nationales, mais encadrées par le Pacte de Stabilité et de Croissance (PSC : déficit public &lt; 3% du PIB et dette publique &lt; 60% du PIB).  Le but est d’éviter les déficits publics excessifs synonymes de forte dette et inflation (due à la relance budgétaire) → La  BCE est  obligée d’augmenter les taux d’intérêt pour restreindre les effets inflationnistes d’une politique de relance  → annulation des bénéfices de la politique budgétaire de relance avec en plus des taux d’intérêt plus élevés pour tous.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4889" w:h="5451" w:x="11181" w:y="1855" w:hSpace="0" w:vSpace="0" w:wrap="notBeside" w:vAnchor="text" w:hAnchor="text" w:hRule="exact"/>
      </w:pPr>
      <w:r>
        <w:rPr>
          <w:b/>
          <w:color w:val="000000"/>
          <w:spacing w:val="0"/>
          <w:sz w:val="17"/>
          <w:u w:val="single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1931" w:h="93" w:x="641" w:y="2691" w:hSpace="0" w:vSpace="0" w:wrap="notBeside" w:vAnchor="text" w:hAnchor="text" w:hRule="exact"/>
      </w:pPr>
      <w:r>
        <w:rPr>
          <w:b/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2777" w:x="692" w:y="2873" w:hSpace="0" w:vSpace="0" w:wrap="notBeside" w:vAnchor="text" w:hAnchor="text" w:hRule="exact"/>
      </w:pPr>
      <w:r>
        <w:rPr>
          <w:rFonts w:cs="Calibri"/>
          <w:b/>
          <w:color w:val="000000"/>
          <w:spacing w:val="1"/>
          <w:sz w:val="17"/>
        </w:rPr>
        <w:t xml:space="preserve">Historique De l’intégration  : 1957 Naissance de la CEE (union douanière + PAC) : 6 Etats membres/ 1973 1er élargissement à 9/ 1986 Création du marché commun (entre en vigueur en 1993 : espace de libre- échange unique au monde par son ampleur)/ 1992 Traité de Maastricht → création de l’UE et des conditions de passage à la monnaie unique /1997 Pacte de Stabilité et de Croissance/ 1999 Mise en place de l’euro 2004 Elargissement à 25, puis à 27 (2007), et à 28 (2013) 2012 Pacte budgétaire (aide financière contre respect des contraintes budgétaires dans l’UEM) /  2016 Brexit → UE à 27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2777" w:x="692" w:y="2873" w:hSpace="0" w:vSpace="0" w:wrap="notBeside" w:vAnchor="text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2777" w:x="692" w:y="2873" w:hSpace="0" w:vSpace="0" w:wrap="notBeside" w:vAnchor="text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2777" w:x="692" w:y="2873" w:hSpace="0" w:vSpace="0" w:wrap="notBeside" w:vAnchor="text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1" w:h="428" w:x="709" w:y="4598" w:hSpace="0" w:vSpace="0" w:wrap="notBeside" w:vAnchor="text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6" w:h="208" w:x="1010" w:y="5050" w:hSpace="0" w:vSpace="0" w:wrap="notBeside" w:vAnchor="margin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Les politiques de la concurrence dans l’UE: objectifs, modalités et limites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 </w:t>
      </w:r>
      <w:r>
        <w:rPr>
          <w:color w:val="000000"/>
          <w:spacing w:val="0"/>
          <w:sz w:val="17"/>
        </w:rPr>
        <w:t xml:space="preserve">Objectifs  : Avec plus de 500 millions de consommateurs, le marché unique doit favoriser le pouvoir d’achat et l’innovation.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La concurrence doit donc être libre et non faussée.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>C’est la Commission européenne qui en a la compétence exclusive.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  <w:u w:val="single"/>
        </w:rPr>
        <w:t>Modalités</w:t>
      </w:r>
      <w:r>
        <w:rPr>
          <w:color w:val="000000"/>
          <w:spacing w:val="0"/>
          <w:sz w:val="17"/>
        </w:rPr>
        <w:t xml:space="preserve">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 • </w:t>
      </w:r>
      <w:r>
        <w:rPr>
          <w:color w:val="000000"/>
          <w:spacing w:val="0"/>
          <w:sz w:val="17"/>
        </w:rPr>
        <w:t xml:space="preserve">Contrôler les concentrations (fusions acquisitions) = lutter contre la création d’entreprises qui bénéficieraient d’un trop grand pouvoir de marché.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• </w:t>
      </w:r>
      <w:r>
        <w:rPr>
          <w:color w:val="000000"/>
          <w:spacing w:val="0"/>
          <w:sz w:val="17"/>
        </w:rPr>
        <w:t>Surveillance (et sanction) pour les entreprises déjà dominantes qui abuseraient de leur pouvoir de marché (stratégies pour maintenir des prix élevés ou forcer les ventes) : abus de position dominante ou en organisant des ententes illicites sur les prix.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 • </w:t>
      </w:r>
      <w:r>
        <w:rPr>
          <w:color w:val="000000"/>
          <w:spacing w:val="0"/>
          <w:sz w:val="17"/>
        </w:rPr>
        <w:t xml:space="preserve">Interdiction (ou contrôle) des aides d’Etat= nuisent à la concurrence.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• </w:t>
      </w:r>
      <w:r>
        <w:rPr>
          <w:color w:val="000000"/>
          <w:spacing w:val="0"/>
          <w:sz w:val="17"/>
        </w:rPr>
        <w:t>Ouverture des marchés à la concurrence : concerne les marchés encore « protégés » (monopoles) 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 </w:t>
      </w:r>
      <w:r>
        <w:rPr>
          <w:color w:val="000000"/>
          <w:spacing w:val="0"/>
          <w:sz w:val="17"/>
          <w:u w:val="single"/>
        </w:rPr>
        <w:t>Limites :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 • </w:t>
      </w:r>
      <w:r>
        <w:rPr>
          <w:color w:val="000000"/>
          <w:spacing w:val="0"/>
          <w:sz w:val="17"/>
        </w:rPr>
        <w:t xml:space="preserve">Concurrence pas toujours souhaitable/ efficace (exemple des services publics en réseau) : c’est d’ailleurs pour cette raison qu’il existe des monopoles d’Etat. • On considère généralement que c’est la concurrence qui conduit à l’innovation… Mais des « géants » pourraient, eux- aussi, être sources d’innovation (moyens d’investir massivement en R&amp;D). • Entre en conflit avec une politique stratégique industrielle, notamment dans le numérique = intérêt à développer des « géants » pour faire face à la concurrence internationale (GAFAM et BATX), mais incompatible avec la politique de la concurrence 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highlight w:val="none"/>
          <w:shd w:fill="FFB66C" w:val="clear"/>
        </w:rPr>
        <w:framePr w:w="4171" w:h="2279" w:x="289" w:y="5649" w:hSpace="0" w:vSpace="0" w:wrap="notBeside" w:vAnchor="text" w:hAnchor="text" w:hRule="exact"/>
      </w:pPr>
      <w:r>
        <w:rPr>
          <w:b/>
          <w:bCs/>
          <w:color w:val="000000"/>
          <w:spacing w:val="0"/>
          <w:sz w:val="24"/>
          <w:szCs w:val="24"/>
          <w:shd w:fill="FFB66C" w:val="clear"/>
        </w:rPr>
        <w:t>Des étapes qui s’enchevêtrent :</w:t>
      </w:r>
      <w:r>
        <w:rPr>
          <w:color w:val="000000"/>
          <w:spacing w:val="0"/>
          <w:sz w:val="17"/>
          <w:shd w:fill="FFB66C" w:val="clear"/>
        </w:rPr>
        <w:t xml:space="preserve">                    </w:t>
      </w:r>
      <w:r>
        <w:rPr>
          <w:rStyle w:val="Strong"/>
          <w:rFonts w:ascii="Baloo" w:hAnsi="Baloo"/>
          <w:b w:val="false"/>
          <w:i w:val="false"/>
          <w:caps w:val="false"/>
          <w:smallCaps w:val="false"/>
          <w:color w:val="111111"/>
          <w:spacing w:val="0"/>
          <w:sz w:val="22"/>
          <w:szCs w:val="22"/>
          <w:shd w:fill="106EBE" w:val="clear"/>
        </w:rPr>
        <w:t xml:space="preserve"> Zone libre-échange (traité de Rome, 1957), union douanière, marché commun (acte unique européen, 1986), union économique, unio</w:t>
      </w:r>
      <w:r>
        <w:rPr>
          <w:rStyle w:val="Strong"/>
          <w:rFonts w:ascii="Baloo" w:hAnsi="Baloo"/>
          <w:b w:val="false"/>
          <w:i w:val="false"/>
          <w:caps w:val="false"/>
          <w:smallCaps w:val="false"/>
          <w:color w:val="111111"/>
          <w:spacing w:val="0"/>
          <w:sz w:val="22"/>
          <w:szCs w:val="22"/>
          <w:shd w:fill="auto" w:val="clear"/>
        </w:rPr>
        <w:t>n économique</w:t>
      </w:r>
      <w:r>
        <w:rPr>
          <w:rFonts w:ascii="Baloo" w:hAnsi="Baloo"/>
          <w:color w:val="000000"/>
          <w:spacing w:val="0"/>
          <w:sz w:val="22"/>
          <w:szCs w:val="22"/>
          <w:shd w:fill="auto" w:val="clear"/>
        </w:rPr>
        <w:t xml:space="preserve"> (marché commun + politiques communes) → UEM à 20 (zone euro).  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highlight w:val="none"/>
          <w:shd w:fill="FFB66C" w:val="clear"/>
        </w:rPr>
        <w:framePr w:w="4171" w:h="2279" w:x="289" w:y="5649" w:hSpace="0" w:vSpace="0" w:wrap="notBeside" w:vAnchor="text" w:hAnchor="text" w:hRule="exact"/>
      </w:pPr>
      <w:r>
        <w:rPr>
          <w:rFonts w:ascii="Baloo" w:hAnsi="Baloo"/>
          <w:color w:val="000000"/>
          <w:spacing w:val="0"/>
          <w:sz w:val="22"/>
          <w:szCs w:val="22"/>
          <w:shd w:fill="auto" w:val="clear"/>
        </w:rPr>
        <w:t xml:space="preserve">     </w:t>
      </w:r>
      <w:r>
        <w:rPr>
          <w:rFonts w:ascii="Baloo" w:hAnsi="Baloo"/>
          <w:color w:val="000000"/>
          <w:spacing w:val="0"/>
          <w:sz w:val="22"/>
          <w:szCs w:val="22"/>
          <w:shd w:fill="auto" w:val="clear"/>
        </w:rPr>
        <w:t>D’après B. Balassa 1961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11377" w:y="8195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61" w:h="5086" w:x="11239" w:y="6660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 </w:t>
      </w:r>
      <w:r>
        <w:rPr>
          <w:color w:val="000000"/>
          <w:spacing w:val="0"/>
          <w:sz w:val="17"/>
        </w:rPr>
        <w:t>Des difficultés de coordination des politiques économiques et de gestion des crises :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61" w:h="5086" w:x="11239" w:y="6660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 </w:t>
      </w:r>
      <w:r>
        <w:rPr>
          <w:b/>
          <w:bCs/>
          <w:color w:val="000000"/>
          <w:spacing w:val="0"/>
          <w:sz w:val="17"/>
        </w:rPr>
        <w:t xml:space="preserve">• </w:t>
      </w:r>
      <w:r>
        <w:rPr>
          <w:b/>
          <w:bCs/>
          <w:color w:val="000000"/>
          <w:spacing w:val="0"/>
          <w:sz w:val="17"/>
        </w:rPr>
        <w:t xml:space="preserve">Incapacité des Etats à respecter le PSC :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b/>
          <w:bCs/>
        </w:rPr>
        <w:framePr w:w="4861" w:h="5086" w:x="11239" w:y="6660" w:hSpace="0" w:vSpace="0" w:wrap="notBeside" w:vAnchor="text" w:hAnchor="text" w:hRule="exact"/>
      </w:pPr>
      <w:r>
        <w:rPr>
          <w:b/>
          <w:bCs/>
          <w:color w:val="000000"/>
          <w:spacing w:val="0"/>
          <w:sz w:val="17"/>
        </w:rPr>
        <w:t xml:space="preserve">déficits et dettes à la limite ou supérieure à  3%/ explosion  pour limiter la crise.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b/>
          <w:bCs/>
        </w:rPr>
        <w:framePr w:w="4861" w:h="5086" w:x="11239" w:y="6660" w:hSpace="0" w:vSpace="0" w:wrap="notBeside" w:vAnchor="text" w:hAnchor="text" w:hRule="exact"/>
      </w:pPr>
      <w:r>
        <w:rPr>
          <w:b/>
          <w:bCs/>
          <w:color w:val="000000"/>
          <w:spacing w:val="0"/>
          <w:sz w:val="17"/>
        </w:rPr>
        <w:t xml:space="preserve">• </w:t>
      </w:r>
      <w:r>
        <w:rPr>
          <w:b/>
          <w:bCs/>
          <w:color w:val="000000"/>
          <w:spacing w:val="0"/>
          <w:sz w:val="17"/>
        </w:rPr>
        <w:t>Déficits et dettes devenus excessifs : → Mise en place de politiques budgétaires d’austérité depuis 2009 pour retrouver l’équilibre budgétaire → ralentissement économique → difficulté à résorber le déficit (corrélation taux de croissance/ hausse des recettes fiscales).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b/>
          <w:bCs/>
        </w:rPr>
        <w:framePr w:w="4861" w:h="5086" w:x="11239" w:y="6660" w:hSpace="0" w:vSpace="0" w:wrap="notBeside" w:vAnchor="text" w:hAnchor="text" w:hRule="exact"/>
      </w:pPr>
      <w:r>
        <w:rPr>
          <w:b/>
          <w:bCs/>
          <w:color w:val="000000"/>
          <w:spacing w:val="0"/>
          <w:sz w:val="17"/>
        </w:rPr>
        <w:t xml:space="preserve"> • </w:t>
      </w:r>
      <w:r>
        <w:rPr>
          <w:b/>
          <w:bCs/>
          <w:color w:val="000000"/>
          <w:spacing w:val="0"/>
          <w:sz w:val="17"/>
        </w:rPr>
        <w:t xml:space="preserve">Pas de vrai budget de la zone Euro (déficit de fonds structurels) : → Budget de l’UE à 27 (= 1,4% du PIB de l’UE) : insuffisant pour soutenir l’activité globale et/ou rééquilibrer les activités selon les régions (malgré les Fonds Structurels)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61" w:h="5086" w:x="11239" w:y="6660" w:hSpace="0" w:vSpace="0" w:wrap="notBeside" w:vAnchor="text" w:hAnchor="text" w:hRule="exact"/>
      </w:pPr>
      <w:r>
        <w:rPr>
          <w:color w:val="000000"/>
          <w:spacing w:val="0"/>
          <w:sz w:val="17"/>
        </w:rPr>
        <w:t>•</w:t>
      </w:r>
      <w:r>
        <w:rPr>
          <w:color w:val="000000"/>
          <w:spacing w:val="0"/>
          <w:sz w:val="17"/>
          <w:u w:val="single"/>
        </w:rPr>
        <w:t xml:space="preserve"> </w:t>
      </w:r>
      <w:r>
        <w:rPr>
          <w:color w:val="000000"/>
          <w:spacing w:val="0"/>
          <w:sz w:val="17"/>
          <w:u w:val="single"/>
        </w:rPr>
        <w:t xml:space="preserve">Conséquences  : </w:t>
      </w:r>
      <w:r>
        <w:rPr>
          <w:color w:val="000000"/>
          <w:spacing w:val="0"/>
          <w:sz w:val="17"/>
        </w:rPr>
        <w:t>- Assouplissement du PSC (depuis 2012, avec le Traité Budgétaire avec garanties de solidarité financière entre Etats) - Création d’un budget de relance de l’UE en 2021 (COVID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61" w:h="5086" w:x="11239" w:y="6660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 </w:t>
      </w:r>
      <w:r>
        <w:rPr>
          <w:color w:val="000000"/>
          <w:spacing w:val="0"/>
          <w:sz w:val="17"/>
          <w:u w:val="thick"/>
        </w:rPr>
        <w:t xml:space="preserve"> </w:t>
      </w:r>
      <w:r>
        <w:rPr>
          <w:color w:val="000000"/>
          <w:spacing w:val="0"/>
          <w:sz w:val="17"/>
          <w:u w:val="thick"/>
        </w:rPr>
        <w:t>Les problèmes liés aux chocs asymétriques : • Problème de la politique monétaire unique : taux d’intérêt unique pour la zone Euro, ne convient pas à toutes les économies. • Du coup, le soutien à l’activité ne relève que des politiques nationales =&gt; incitation à mener des stratégies non coopératives de dumping social et fisca</w:t>
      </w:r>
      <w:r>
        <w:rPr>
          <w:color w:val="000000"/>
          <w:spacing w:val="0"/>
          <w:sz w:val="17"/>
        </w:rPr>
        <w:t xml:space="preserve">l. • Compte tenu de la forte intégration économique (surtout dans l’UEM), nécessaire gouvernance, fondée sur un réel fédéralisme budgétaire → pb d’abord politique.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61" w:h="5086" w:x="11239" w:y="6660" w:hSpace="0" w:vSpace="0" w:wrap="notBeside" w:vAnchor="text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color w:val="FF8000"/>
        </w:rPr>
        <w:framePr w:w="6496" w:h="2125" w:x="4414" w:y="9735" w:hSpace="0" w:vSpace="0" w:wrap="notBeside" w:vAnchor="text" w:hAnchor="text" w:hRule="exact"/>
      </w:pPr>
      <w:r>
        <w:rPr>
          <w:color w:val="FF8000"/>
          <w:spacing w:val="0"/>
          <w:sz w:val="17"/>
        </w:rPr>
        <w:t>BILA</w:t>
      </w:r>
      <w:r>
        <w:rPr>
          <w:color w:val="FF8000"/>
          <w:spacing w:val="0"/>
          <w:sz w:val="16"/>
          <w:szCs w:val="16"/>
        </w:rPr>
        <w:t xml:space="preserve">N : </w:t>
      </w:r>
      <w:r>
        <w:rPr>
          <w:caps w:val="false"/>
          <w:smallCaps w:val="false"/>
          <w:color w:val="FF8000"/>
          <w:spacing w:val="0"/>
          <w:sz w:val="16"/>
          <w:szCs w:val="16"/>
        </w:rPr>
        <w:t> </w:t>
      </w:r>
      <w:r>
        <w:rPr>
          <w:rFonts w:ascii="Bricolage Grotesque;sans-serif" w:hAnsi="Bricolage Grotesque;sans-serif"/>
          <w:b/>
          <w:i w:val="false"/>
          <w:caps w:val="false"/>
          <w:smallCaps w:val="false"/>
          <w:color w:val="FF8000"/>
          <w:spacing w:val="0"/>
          <w:sz w:val="16"/>
          <w:szCs w:val="16"/>
        </w:rPr>
        <w:t>La politique de concurrence européenne est lacunaire et doit corriger quelques points car elle présente de l’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FF8000"/>
          <w:spacing w:val="0"/>
          <w:sz w:val="16"/>
          <w:szCs w:val="16"/>
        </w:rPr>
        <w:t>efficience  qui se traduit sur tous les plans micro et macroéconomiques.</w:t>
      </w:r>
      <w:r>
        <w:rPr>
          <w:rFonts w:ascii="Bricolage Grotesque;sans-serif" w:hAnsi="Bricolage Grotesque;sans-serif"/>
          <w:b/>
          <w:i w:val="false"/>
          <w:caps w:val="false"/>
          <w:smallCaps w:val="false"/>
          <w:color w:val="FF8000"/>
          <w:spacing w:val="0"/>
          <w:sz w:val="16"/>
          <w:szCs w:val="16"/>
        </w:rPr>
        <w:t xml:space="preserve"> </w:t>
      </w:r>
    </w:p>
    <w:p>
      <w:pPr>
        <w:pStyle w:val="BodyText"/>
        <w:widowControl/>
        <w:pBdr/>
        <w:spacing w:lineRule="auto" w:line="432" w:before="0" w:after="300"/>
        <w:ind w:hanging="0" w:left="0" w:right="0"/>
        <w:rPr>
          <w:rFonts w:ascii="Poppins;sans-serif" w:hAnsi="Poppins;sans-serif"/>
          <w:b w:val="false"/>
          <w:i w:val="false"/>
          <w:i w:val="false"/>
          <w:caps w:val="false"/>
          <w:smallCaps w:val="false"/>
          <w:color w:val="151822"/>
          <w:spacing w:val="0"/>
          <w:sz w:val="16"/>
        </w:rPr>
        <w:framePr w:w="6496" w:h="2125" w:x="4414" w:y="9735" w:hSpace="0" w:vSpace="0" w:wrap="notBeside" w:vAnchor="text" w:hAnchor="text" w:hRule="exact"/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16"/>
          <w:szCs w:val="16"/>
        </w:rPr>
        <w:t>Deux critiques sont adressées à la politique de concurrence de l’union européenne : d’un coté excessive, de l’autre lacunaire. Incapable de mettre en place des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24"/>
        </w:rPr>
        <w:t xml:space="preserve"> 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16"/>
          <w:szCs w:val="16"/>
        </w:rPr>
        <w:t>politiques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24"/>
        </w:rPr>
        <w:t xml:space="preserve"> 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16"/>
          <w:szCs w:val="16"/>
        </w:rPr>
        <w:t>industrielles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24"/>
        </w:rPr>
        <w:t xml:space="preserve"> 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16"/>
          <w:szCs w:val="16"/>
        </w:rPr>
        <w:t>nationales ambitieuses mais bien capable de détruire les  services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24"/>
        </w:rPr>
        <w:t xml:space="preserve"> 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16"/>
          <w:szCs w:val="16"/>
        </w:rPr>
        <w:t>publics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24"/>
        </w:rPr>
        <w:t xml:space="preserve"> 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16"/>
          <w:szCs w:val="16"/>
        </w:rPr>
        <w:t>nationaux entre autres…</w:t>
      </w:r>
    </w:p>
    <w:p>
      <w:pPr>
        <w:pStyle w:val="BodyText"/>
        <w:widowControl/>
        <w:pBdr/>
        <w:spacing w:lineRule="auto" w:line="432" w:before="0" w:after="300"/>
        <w:ind w:hanging="0" w:left="0" w:right="0"/>
        <w:rPr>
          <w:rFonts w:ascii="Poppins;sans-serif" w:hAnsi="Poppins;sans-serif"/>
          <w:b w:val="false"/>
          <w:i w:val="false"/>
          <w:i w:val="false"/>
          <w:caps w:val="false"/>
          <w:smallCaps w:val="false"/>
          <w:color w:val="151822"/>
          <w:spacing w:val="0"/>
          <w:sz w:val="24"/>
        </w:rPr>
        <w:framePr w:w="6496" w:h="2125" w:x="4414" w:y="9735" w:hSpace="0" w:vSpace="0" w:wrap="notBeside" w:vAnchor="text" w:hAnchor="text" w:hRule="exact"/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24"/>
        </w:rPr>
        <w:t>Les aides des Etats sont également sous le viseur des critiques. Celles-ci mettent l’accent sur le fait que d’autres pays non européens n’hésitent pas à aider leurs entreprises à gagner en compétitivité par rapports aux firmes européennes. </w:t>
      </w:r>
    </w:p>
    <w:p>
      <w:pPr>
        <w:pStyle w:val="BodyText"/>
        <w:widowControl/>
        <w:pBdr/>
        <w:spacing w:lineRule="auto" w:line="432" w:before="0" w:after="300"/>
        <w:ind w:hanging="0" w:left="0" w:right="0"/>
        <w:rPr>
          <w:rFonts w:ascii="Poppins;sans-serif" w:hAnsi="Poppins;sans-serif"/>
          <w:b w:val="false"/>
          <w:i w:val="false"/>
          <w:i w:val="false"/>
          <w:caps w:val="false"/>
          <w:smallCaps w:val="false"/>
          <w:color w:val="151822"/>
          <w:spacing w:val="0"/>
          <w:sz w:val="16"/>
          <w:szCs w:val="16"/>
        </w:rPr>
        <w:framePr w:w="6496" w:h="2125" w:x="4414" w:y="9735" w:hSpace="0" w:vSpace="0" w:wrap="notBeside" w:vAnchor="text" w:hAnchor="text" w:hRule="exact"/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16"/>
          <w:szCs w:val="16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color w:val="FF8000"/>
        </w:rPr>
        <w:framePr w:w="6496" w:h="2125" w:x="4414" w:y="9735" w:hSpace="0" w:vSpace="0" w:wrap="notBeside" w:vAnchor="text" w:hAnchor="text" w:hRule="exact"/>
      </w:pPr>
      <w:r>
        <w:rPr>
          <w:color w:val="FF8000"/>
        </w:rPr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437515</wp:posOffset>
                </wp:positionH>
                <wp:positionV relativeFrom="paragraph">
                  <wp:posOffset>3211830</wp:posOffset>
                </wp:positionV>
                <wp:extent cx="2365375" cy="634365"/>
                <wp:effectExtent l="0" t="0" r="0" b="0"/>
                <wp:wrapNone/>
                <wp:docPr id="2" name="Cadr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200" cy="634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user"/>
                              <w:overflowPunct w:val="false"/>
                              <w:spacing w:before="0" w:after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user"/>
                              <w:overflowPunct w:val="false"/>
                              <w:spacing w:before="0" w:after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user"/>
                              <w:overflowPunct w:val="false"/>
                              <w:spacing w:before="0" w:after="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  <w:szCs w:val="24"/>
                                <w:lang w:val="fr-FR" w:eastAsia="zh-CN" w:bidi="hi-IN"/>
                              </w:rPr>
                              <w:t xml:space="preserve">      </w:t>
                            </w:r>
                            <w:r>
                              <w:rPr>
                                <w:szCs w:val="24"/>
                                <w:shd w:fill="FF8000" w:val="clear"/>
                                <w:lang w:val="fr-FR" w:eastAsia="zh-CN" w:bidi="hi-IN"/>
                              </w:rPr>
                              <w:t xml:space="preserve">Il </w:t>
                            </w:r>
                            <w:r>
                              <w:rPr>
                                <w:sz w:val="14"/>
                                <w:szCs w:val="14"/>
                                <w:shd w:fill="FF8000" w:val="clear"/>
                                <w:lang w:val="fr-FR" w:eastAsia="zh-CN" w:bidi="hi-IN"/>
                              </w:rPr>
                              <w:t xml:space="preserve"> montre qu’il s’agit du résidu, un PT non expliqué</w:t>
                            </w:r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fr-FR" w:eastAsia="zh-CN" w:bidi="hi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" path="m0,0l-2147483645,0l-2147483645,-2147483646l0,-2147483646xe" stroked="f" o:allowincell="f" style="position:absolute;margin-left:34.45pt;margin-top:252.9pt;width:186.2pt;height:49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user"/>
                        <w:overflowPunct w:val="false"/>
                        <w:spacing w:before="0" w:after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user"/>
                        <w:overflowPunct w:val="false"/>
                        <w:spacing w:before="0" w:after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user"/>
                        <w:overflowPunct w:val="false"/>
                        <w:spacing w:before="0" w:after="0"/>
                        <w:jc w:val="left"/>
                        <w:rPr/>
                      </w:pPr>
                      <w:r>
                        <w:rPr>
                          <w:color w:val="000000"/>
                          <w:szCs w:val="24"/>
                          <w:lang w:val="fr-FR" w:eastAsia="zh-CN" w:bidi="hi-IN"/>
                        </w:rPr>
                        <w:t xml:space="preserve">      </w:t>
                      </w:r>
                      <w:r>
                        <w:rPr>
                          <w:szCs w:val="24"/>
                          <w:shd w:fill="FF8000" w:val="clear"/>
                          <w:lang w:val="fr-FR" w:eastAsia="zh-CN" w:bidi="hi-IN"/>
                        </w:rPr>
                        <w:t xml:space="preserve">Il </w:t>
                      </w:r>
                      <w:r>
                        <w:rPr>
                          <w:sz w:val="14"/>
                          <w:szCs w:val="14"/>
                          <w:shd w:fill="FF8000" w:val="clear"/>
                          <w:lang w:val="fr-FR" w:eastAsia="zh-CN" w:bidi="hi-IN"/>
                        </w:rPr>
                        <w:t xml:space="preserve"> montre qu’il s’agit du résidu, un PT non expliqué</w:t>
                      </w:r>
                      <w:r>
                        <w:rPr>
                          <w:color w:val="000000"/>
                          <w:sz w:val="14"/>
                          <w:szCs w:val="14"/>
                          <w:lang w:val="fr-FR" w:eastAsia="zh-CN" w:bidi="hi-IN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orient="landscape" w:w="16838" w:h="11906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KOGPPQ+Wingdings">
    <w:charset w:val="00"/>
    <w:family w:val="auto"/>
    <w:pitch w:val="variable"/>
  </w:font>
  <w:font w:name="Marianne">
    <w:altName w:val="arial"/>
    <w:charset w:val="00"/>
    <w:family w:val="roman"/>
    <w:pitch w:val="variable"/>
  </w:font>
  <w:font w:name="Open Sans">
    <w:altName w:val="Open Sans fallback"/>
    <w:charset w:val="00"/>
    <w:family w:val="roman"/>
    <w:pitch w:val="variable"/>
  </w:font>
  <w:font w:name="Baloo">
    <w:charset w:val="00"/>
    <w:family w:val="auto"/>
    <w:pitch w:val="variable"/>
    <w:embedRegular r:id="rId18" w:fontKey="{12014A78-CABC-4EF0-12AC-5CD89AEFDE12}"/>
  </w:font>
  <w:font w:name="HIRGVK+Symbol">
    <w:charset w:val="00"/>
    <w:family w:val="auto"/>
    <w:pitch w:val="variable"/>
  </w:font>
  <w:font w:name="Bricolage Grotesque">
    <w:altName w:val="sans-serif"/>
    <w:charset w:val="00"/>
    <w:family w:val="roman"/>
    <w:pitch w:val="variable"/>
  </w:font>
  <w:font w:name="Poppins">
    <w:altName w:val="sans-serif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fr-F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paragraph" w:styleId="Heading1">
    <w:name w:val="heading 1"/>
    <w:basedOn w:val="Titre"/>
    <w:next w:val="BodyText"/>
    <w:qFormat/>
    <w:pPr>
      <w:spacing w:before="240" w:after="120"/>
      <w:outlineLvl w:val="0"/>
    </w:pPr>
    <w:rPr>
      <w:rFonts w:ascii="Liberation Serif" w:hAnsi="Liberation Serif" w:eastAsia="NSimSun" w:cs="Arial"/>
      <w:b/>
      <w:bCs/>
      <w:sz w:val="48"/>
      <w:szCs w:val="48"/>
    </w:rPr>
  </w:style>
  <w:style w:type="paragraph" w:styleId="Heading3">
    <w:name w:val="heading 3"/>
    <w:basedOn w:val="Titre"/>
    <w:next w:val="BodyText"/>
    <w:qFormat/>
    <w:pPr>
      <w:spacing w:before="140" w:after="120"/>
      <w:outlineLvl w:val="2"/>
    </w:pPr>
    <w:rPr>
      <w:rFonts w:ascii="Liberation Serif" w:hAnsi="Liberation Serif" w:eastAsia="NSimSun" w:cs="Arial"/>
      <w:b/>
      <w:bCs/>
      <w:sz w:val="28"/>
      <w:szCs w:val="28"/>
    </w:rPr>
  </w:style>
  <w:style w:type="character" w:styleId="DefaultParagraphFont" w:default="1">
    <w:name w:val="Default Paragraph Font"/>
    <w:semiHidden/>
    <w:qFormat/>
    <w:rPr/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oList" w:default="1">
    <w:name w:val="No List"/>
    <w:semiHidden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Arial"/>
      <w:color w:val="auto"/>
      <w:kern w:val="2"/>
      <w:sz w:val="22"/>
      <w:szCs w:val="24"/>
      <w:lang w:val="fr-FR" w:eastAsia="zh-CN" w:bidi="hi-IN"/>
    </w:rPr>
  </w:style>
  <w:style w:type="paragraph" w:styleId="Contenudecadreuser">
    <w:name w:val="Contenu de cadre (user)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www.vie-publique.fr/fiches/270044-quest-ce-que-linflation-ipc-pouvoir-dachat" TargetMode="External"/><Relationship Id="rId4" Type="http://schemas.openxmlformats.org/officeDocument/2006/relationships/hyperlink" Target="https://www.vie-publique.fr/fiches/21794-comment-fonctionne-la-zone-euro-et-role-de-la-banque-centrale-europeenne" TargetMode="External"/><Relationship Id="rId5" Type="http://schemas.openxmlformats.org/officeDocument/2006/relationships/hyperlink" Target="https://ec.europa.eu/eurostat/fr/web/products-euro-indicators/w/2-16042025-ap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Application>LibreOffice/24.8.5.2$Windows_X86_64 LibreOffice_project/fddf2685c70b461e7832239a0162a77216259f22</Application>
  <AppVersion>15.0000</AppVersion>
  <Pages>1</Pages>
  <Words>1012</Words>
  <Characters>5535</Characters>
  <CharactersWithSpaces>6379</CharactersWithSpaces>
  <Paragraphs>156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2025-05-30T13:24:34Z</dcterms:created>
  <dc:creator>doc2pdf</dc:creator>
  <dc:description/>
  <dc:language>fr-FR</dc:language>
  <cp:lastModifiedBy/>
  <dcterms:modified xsi:type="dcterms:W3CDTF">2025-06-01T19:04:27Z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