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8"/>
          <w:szCs w:val="18"/>
        </w:rPr>
      </w:pPr>
      <w:r>
        <w:rPr>
          <w:b/>
          <w:sz w:val="18"/>
          <w:szCs w:val="18"/>
        </w:rPr>
        <w:t>Objectif </w:t>
      </w:r>
      <w:r>
        <w:rPr>
          <w:sz w:val="18"/>
          <w:szCs w:val="18"/>
        </w:rPr>
        <w:t>: réviser la lecture et l’interprétation des savoir-faire exigibles au baccalauréat</w:t>
      </w:r>
    </w:p>
    <w:tbl>
      <w:tblPr>
        <w:tblStyle w:val="Grilledutableau"/>
        <w:tblW w:w="109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4"/>
        <w:gridCol w:w="9587"/>
      </w:tblGrid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u w:val="single"/>
              </w:rPr>
            </w:pPr>
            <w:r>
              <w:rPr>
                <w:rFonts w:eastAsia="Calibri" w:cs="Times New Roman"/>
                <w:b/>
                <w:kern w:val="0"/>
                <w:u w:val="single"/>
                <w:lang w:val="fr-FR" w:bidi="ar-SA"/>
              </w:rPr>
              <w:t>Savoir-faire 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u w:val="single"/>
              </w:rPr>
            </w:pPr>
            <w:r>
              <w:rPr>
                <w:rFonts w:eastAsia="Calibri" w:cs="Times New Roman"/>
                <w:b/>
                <w:kern w:val="0"/>
                <w:u w:val="single"/>
                <w:lang w:val="fr-FR" w:bidi="ar-SA"/>
              </w:rPr>
              <w:t>Lire et interpréter</w:t>
            </w:r>
          </w:p>
        </w:tc>
        <w:tc>
          <w:tcPr>
            <w:tcW w:w="95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u w:val="single"/>
                <w:lang w:val="fr-FR" w:bidi="ar-SA"/>
              </w:rPr>
              <w:t>Clés de lecture attendues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fr-FR" w:bidi="ar-SA"/>
              </w:rPr>
              <w:t>(toujours préciser la source à l’écrit)</w:t>
            </w:r>
          </w:p>
        </w:tc>
      </w:tr>
      <w:tr>
        <w:trPr>
          <w:trHeight w:val="249" w:hRule="atLeast"/>
        </w:trPr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Une proportion en %</w:t>
            </w:r>
          </w:p>
        </w:tc>
        <w:tc>
          <w:tcPr>
            <w:tcW w:w="9587" w:type="dxa"/>
            <w:tcBorders/>
          </w:tcPr>
          <w:p>
            <w:pPr>
              <w:pStyle w:val="Default"/>
              <w:spacing w:before="0" w:after="0"/>
              <w:jc w:val="center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sz w:val="18"/>
                <w:szCs w:val="18"/>
                <w:lang w:val="fr-FR" w:eastAsia="fr-FR" w:bidi="ar-SA"/>
              </w:rPr>
              <w:t>Statut d'emploi et groupe socioprofessionnel des personnes occupant un emploi selon le sexe</w:t>
            </w:r>
          </w:p>
          <w:tbl>
            <w:tblPr>
              <w:tblW w:w="9498" w:type="dxa"/>
              <w:jc w:val="left"/>
              <w:tblInd w:w="41" w:type="dxa"/>
              <w:tblLayout w:type="fixed"/>
              <w:tblCellMar>
                <w:top w:w="0" w:type="dxa"/>
                <w:left w:w="40" w:type="dxa"/>
                <w:bottom w:w="0" w:type="dxa"/>
                <w:right w:w="40" w:type="dxa"/>
              </w:tblCellMar>
              <w:tblLook w:firstRow="0" w:noVBand="0" w:lastRow="0" w:firstColumn="0" w:lastColumn="0" w:noHBand="0" w:val="0000"/>
            </w:tblPr>
            <w:tblGrid>
              <w:gridCol w:w="3118"/>
              <w:gridCol w:w="1275"/>
              <w:gridCol w:w="1277"/>
              <w:gridCol w:w="1275"/>
              <w:gridCol w:w="1277"/>
              <w:gridCol w:w="1275"/>
            </w:tblGrid>
            <w:tr>
              <w:trPr>
                <w:trHeight w:val="284" w:hRule="exact"/>
              </w:trPr>
              <w:tc>
                <w:tcPr>
                  <w:tcW w:w="31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Effectif total (milliers)</w:t>
                  </w:r>
                </w:p>
              </w:tc>
              <w:tc>
                <w:tcPr>
                  <w:tcW w:w="382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Répartition (%)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Part des femmes (%)</w:t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786" w:hRule="exact"/>
              </w:trPr>
              <w:tc>
                <w:tcPr>
                  <w:tcW w:w="3118" w:type="dxa"/>
                  <w:vMerge w:val="continue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vMerge w:val="continue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Ensemble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Femmes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Hommes</w:t>
                  </w:r>
                </w:p>
              </w:tc>
              <w:tc>
                <w:tcPr>
                  <w:tcW w:w="1275" w:type="dxa"/>
                  <w:vMerge w:val="continue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Non-salariés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2 956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7,7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14,9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31,8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Salariés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22 799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88,5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92,3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49,7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Dont:</w:t>
                  </w:r>
                </w:p>
              </w:tc>
              <w:tc>
                <w:tcPr>
                  <w:tcW w:w="127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Cadres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4 153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16,1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13,6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18,4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40,2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Professions intermédiaires</w:t>
                  </w:r>
                </w:p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Employés qualifiés</w:t>
                  </w:r>
                </w:p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Employés Non qualifiés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6 051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23,5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25,2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21,9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51,2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Employés qualifiés</w:t>
                  </w:r>
                </w:p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3 739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22,8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7,0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74,8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Employés non qualifiés</w:t>
                  </w:r>
                </w:p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3 508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13,6</w:t>
                  </w:r>
                </w:p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5,6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78,6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Ouvriers qualifiés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3 520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13,7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3,4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11,8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Ouvriers non qualifiés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1 827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7,1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4,9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9,1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sz w:val="18"/>
                      <w:szCs w:val="18"/>
                    </w:rPr>
                    <w:t>33,0</w:t>
                  </w:r>
                </w:p>
              </w:tc>
            </w:tr>
            <w:tr>
              <w:trPr>
                <w:trHeight w:val="284" w:hRule="exact"/>
              </w:trPr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Ensemble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25 754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2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</w:tcPr>
                <w:p>
                  <w:pPr>
                    <w:pStyle w:val="Default"/>
                    <w:jc w:val="center"/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8"/>
                      <w:szCs w:val="18"/>
                    </w:rPr>
                    <w:t>47,7</w:t>
                  </w:r>
                </w:p>
              </w:tc>
            </w:tr>
          </w:tbl>
          <w:p>
            <w:pPr>
              <w:pStyle w:val="Default"/>
              <w:spacing w:before="0" w:after="0"/>
              <w:jc w:val="lef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8"/>
                <w:szCs w:val="18"/>
                <w:lang w:val="fr-FR" w:eastAsia="fr-FR" w:bidi="ar-SA"/>
              </w:rPr>
              <w:t>Champ : population en emploi de 15 ans ou plus, vivant en France métropolitaine.</w:t>
            </w:r>
          </w:p>
          <w:p>
            <w:pPr>
              <w:pStyle w:val="Default"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8"/>
                <w:szCs w:val="18"/>
                <w:lang w:val="fr-FR" w:eastAsia="fr-FR" w:bidi="ar-SA"/>
              </w:rPr>
              <w:t>Source : INSEE, enquête Emploi 2012.</w:t>
            </w:r>
          </w:p>
          <w:p>
            <w:pPr>
              <w:pStyle w:val="Default"/>
              <w:spacing w:before="0" w:after="0"/>
              <w:jc w:val="left"/>
              <w:rPr>
                <w:rFonts w:ascii="Calibri" w:hAnsi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i/>
                <w:kern w:val="0"/>
                <w:sz w:val="18"/>
                <w:szCs w:val="18"/>
                <w:lang w:val="fr-FR" w:eastAsia="fr-FR" w:bidi="ar-SA"/>
              </w:rPr>
              <w:t>Note : La somme des colonnes peut être différente de la somme réelle du fait des arrondis.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En France,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étaient salariées.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Sur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.</w:t>
            </w:r>
          </w:p>
          <w:p>
            <w:pPr>
              <w:pStyle w:val="ListParagraph"/>
              <w:widowControl/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Autrement dit, 88,5%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13,6%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___________________________________________________________________________________________</w:t>
            </w:r>
          </w:p>
          <w:p>
            <w:pPr>
              <w:pStyle w:val="ListParagraph"/>
              <w:widowControl/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_______________________________________________________________________________________________</w:t>
            </w:r>
          </w:p>
          <w:p>
            <w:pPr>
              <w:pStyle w:val="ListParagraph"/>
              <w:widowControl/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Autrement dit, sur 100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47,7%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_______________________________________________________________________________________________</w:t>
            </w:r>
          </w:p>
          <w:p>
            <w:pPr>
              <w:pStyle w:val="ListParagraph"/>
              <w:widowControl/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Autrement dit, sur 100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</w:t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Une évolution en % (taux de variation)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TCAM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coefficient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multiplicateur</w:t>
            </w:r>
          </w:p>
        </w:tc>
        <w:tc>
          <w:tcPr>
            <w:tcW w:w="958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Cs/>
                <w:spacing w:val="6"/>
                <w:sz w:val="18"/>
                <w:szCs w:val="18"/>
                <w:u w:val="single"/>
              </w:rPr>
            </w:pPr>
            <w:r>
              <w:rPr>
                <w:rFonts w:eastAsia="Calibri" w:cs="Times New Roman"/>
                <w:b/>
                <w:bCs/>
                <w:spacing w:val="6"/>
                <w:kern w:val="0"/>
                <w:sz w:val="18"/>
                <w:szCs w:val="18"/>
                <w:u w:val="single"/>
                <w:lang w:val="fr-FR" w:bidi="ar-SA"/>
              </w:rPr>
              <w:t>Croissance annuelle du PIB en volume entre 1999 et 2012 (en %)</w:t>
            </w:r>
          </w:p>
          <w:tbl>
            <w:tblPr>
              <w:tblW w:w="8890" w:type="dxa"/>
              <w:jc w:val="left"/>
              <w:tblInd w:w="3" w:type="dxa"/>
              <w:tblLayout w:type="fixed"/>
              <w:tblCellMar>
                <w:top w:w="0" w:type="dxa"/>
                <w:left w:w="2" w:type="dxa"/>
                <w:bottom w:w="0" w:type="dxa"/>
                <w:right w:w="2" w:type="dxa"/>
              </w:tblCellMar>
              <w:tblLook w:firstRow="0" w:noVBand="0" w:lastRow="0" w:firstColumn="0" w:lastColumn="0" w:noHBand="0" w:val="0000"/>
            </w:tblPr>
            <w:tblGrid>
              <w:gridCol w:w="1488"/>
              <w:gridCol w:w="1488"/>
              <w:gridCol w:w="1483"/>
              <w:gridCol w:w="1483"/>
              <w:gridCol w:w="1468"/>
              <w:gridCol w:w="1479"/>
            </w:tblGrid>
            <w:tr>
              <w:trPr>
                <w:trHeight w:val="632" w:hRule="exact"/>
              </w:trPr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</w:r>
                </w:p>
              </w:tc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Moyenne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annuelle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1999-2008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2009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2010</w:t>
                  </w:r>
                </w:p>
              </w:tc>
              <w:tc>
                <w:tcPr>
                  <w:tcW w:w="1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2011</w:t>
                  </w:r>
                </w:p>
              </w:tc>
              <w:tc>
                <w:tcPr>
                  <w:tcW w:w="1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2012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(prévisions)</w:t>
                  </w:r>
                </w:p>
              </w:tc>
            </w:tr>
            <w:tr>
              <w:trPr>
                <w:trHeight w:val="287" w:hRule="exact"/>
              </w:trPr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Monde</w:t>
                  </w:r>
                </w:p>
              </w:tc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3,8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92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-1,2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1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3,8</w:t>
                  </w:r>
                </w:p>
              </w:tc>
              <w:tc>
                <w:tcPr>
                  <w:tcW w:w="1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3,4</w:t>
                  </w:r>
                </w:p>
              </w:tc>
            </w:tr>
            <w:tr>
              <w:trPr>
                <w:trHeight w:val="277" w:hRule="exact"/>
              </w:trPr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Etats-Unis</w:t>
                  </w:r>
                </w:p>
              </w:tc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92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-3,5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1,7</w:t>
                  </w:r>
                </w:p>
              </w:tc>
              <w:tc>
                <w:tcPr>
                  <w:tcW w:w="1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2,0</w:t>
                  </w:r>
                </w:p>
              </w:tc>
            </w:tr>
            <w:tr>
              <w:trPr>
                <w:trHeight w:val="295" w:hRule="exact"/>
              </w:trPr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Zone Euro</w:t>
                  </w:r>
                </w:p>
              </w:tc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2,1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92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-4,2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1,8</w:t>
                  </w:r>
                </w:p>
              </w:tc>
              <w:tc>
                <w:tcPr>
                  <w:tcW w:w="1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1,6</w:t>
                  </w:r>
                </w:p>
              </w:tc>
              <w:tc>
                <w:tcPr>
                  <w:tcW w:w="1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0,2</w:t>
                  </w:r>
                </w:p>
              </w:tc>
            </w:tr>
            <w:tr>
              <w:trPr>
                <w:trHeight w:val="271" w:hRule="exact"/>
              </w:trPr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pacing w:val="6"/>
                      <w:sz w:val="18"/>
                      <w:szCs w:val="18"/>
                    </w:rPr>
                    <w:t>Japon</w:t>
                  </w:r>
                </w:p>
              </w:tc>
              <w:tc>
                <w:tcPr>
                  <w:tcW w:w="14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92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-6,3</w:t>
                  </w:r>
                </w:p>
              </w:tc>
              <w:tc>
                <w:tcPr>
                  <w:tcW w:w="1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56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4,1</w:t>
                  </w:r>
                </w:p>
              </w:tc>
              <w:tc>
                <w:tcPr>
                  <w:tcW w:w="1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-0,3</w:t>
                  </w:r>
                </w:p>
              </w:tc>
              <w:tc>
                <w:tcPr>
                  <w:tcW w:w="1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decimal" w:pos="720" w:leader="none"/>
                    </w:tabs>
                    <w:rPr>
                      <w:rFonts w:ascii="Calibri" w:hAnsi="Calibri" w:asciiTheme="minorHAnsi" w:hAnsiTheme="minorHAnsi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pacing w:val="6"/>
                      <w:sz w:val="18"/>
                      <w:szCs w:val="18"/>
                    </w:rPr>
                    <w:t>2,0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2"/>
                <w:kern w:val="0"/>
                <w:sz w:val="18"/>
                <w:szCs w:val="18"/>
                <w:lang w:val="fr-FR" w:bidi="ar-SA"/>
              </w:rPr>
              <w:t>Source :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eastAsia="Calibri" w:cs="Times New Roman"/>
                <w:i/>
                <w:iCs/>
                <w:spacing w:val="4"/>
                <w:kern w:val="0"/>
                <w:sz w:val="18"/>
                <w:szCs w:val="18"/>
                <w:lang w:val="fr-FR" w:bidi="ar-SA"/>
              </w:rPr>
              <w:t xml:space="preserve">Perspectives économiques de l'OCDE, n°90, 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>2011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u w:val="single"/>
                <w:lang w:val="fr-FR" w:bidi="ar-SA"/>
              </w:rPr>
              <w:t>Taux de variation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 : En 2011, le PIB mondial </w:t>
            </w:r>
            <w:r>
              <w:rPr>
                <w:rFonts w:eastAsia="Calibri" w:cs="Times New Roman"/>
                <w:color w:val="0070C0"/>
                <w:spacing w:val="6"/>
                <w:kern w:val="0"/>
                <w:sz w:val="18"/>
                <w:szCs w:val="18"/>
                <w:lang w:val="fr-FR" w:bidi="ar-SA"/>
              </w:rPr>
              <w:t>______________________________________________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. Au Japon, le PIB </w:t>
            </w:r>
            <w:r>
              <w:rPr>
                <w:rFonts w:eastAsia="Calibri" w:cs="Times New Roman"/>
                <w:color w:val="0070C0"/>
                <w:spacing w:val="6"/>
                <w:kern w:val="0"/>
                <w:sz w:val="18"/>
                <w:szCs w:val="18"/>
                <w:lang w:val="fr-FR" w:bidi="ar-SA"/>
              </w:rPr>
              <w:t>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En 2011, dans le monde, selon l’OCDE, </w:t>
            </w:r>
            <w:r>
              <w:rPr>
                <w:rFonts w:eastAsia="Calibri" w:cs="Times New Roman"/>
                <w:b/>
                <w:bCs/>
                <w:spacing w:val="6"/>
                <w:kern w:val="0"/>
                <w:sz w:val="18"/>
                <w:szCs w:val="18"/>
                <w:lang w:val="fr-FR" w:bidi="ar-SA"/>
              </w:rPr>
              <w:t>le PIB a diminué/la croissance a ralenti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u w:val="single"/>
                <w:lang w:val="fr-FR" w:bidi="ar-SA"/>
              </w:rPr>
              <w:t>TCAM 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: </w:t>
            </w:r>
            <w:r>
              <w:rPr>
                <w:rFonts w:eastAsia="Calibri" w:cs="Times New Roman"/>
                <w:color w:val="0070C0"/>
                <w:spacing w:val="6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u w:val="single"/>
                <w:lang w:val="fr-FR" w:bidi="ar-SA"/>
              </w:rPr>
              <w:t>Coefficient multiplicateur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 : la croissance annuelle moyenne des Etats-Unis entre 1999 et 2008 est </w:t>
            </w:r>
            <w:r>
              <w:rPr>
                <w:rFonts w:eastAsia="Calibri" w:cs="Times New Roman"/>
                <w:color w:val="0070C0"/>
                <w:spacing w:val="6"/>
                <w:kern w:val="0"/>
                <w:sz w:val="18"/>
                <w:szCs w:val="18"/>
                <w:lang w:val="fr-FR" w:bidi="ar-SA"/>
              </w:rPr>
              <w:t>________________________</w:t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 de celle du Japon sur la même période.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indice base 100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coefficient multiplicateur</w:t>
            </w:r>
          </w:p>
        </w:tc>
        <w:tc>
          <w:tcPr>
            <w:tcW w:w="9587" w:type="dxa"/>
            <w:tcBorders/>
          </w:tcPr>
          <w:p>
            <w:pPr>
              <w:pStyle w:val="Default"/>
              <w:spacing w:before="0" w:after="0"/>
              <w:jc w:val="center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drawing>
                <wp:anchor behindDoc="0" distT="0" distB="0" distL="114300" distR="114300" simplePos="0" locked="0" layoutInCell="1" allowOverlap="1" relativeHeight="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215900</wp:posOffset>
                  </wp:positionV>
                  <wp:extent cx="4218940" cy="2416810"/>
                  <wp:effectExtent l="0" t="0" r="0" b="0"/>
                  <wp:wrapSquare wrapText="bothSides"/>
                  <wp:docPr id="1" name="Image 0" descr="ecbi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ecbi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940" cy="2416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="Calibri" w:hAnsi="Calibri" w:asciiTheme="minorHAnsi" w:hAnsiTheme="minorHAnsi"/>
                <w:b/>
                <w:kern w:val="0"/>
                <w:sz w:val="18"/>
                <w:szCs w:val="18"/>
                <w:u w:val="single"/>
                <w:lang w:val="fr-FR" w:eastAsia="fr-FR" w:bidi="ar-SA"/>
              </w:rPr>
              <w:t xml:space="preserve">Evolution de l'emploi non qualifié en France : 1984-2004 </w:t>
            </w:r>
            <w:r>
              <w:rPr>
                <w:rFonts w:cs="Times New Roman" w:ascii="Calibri" w:hAnsi="Calibri" w:asciiTheme="minorHAnsi" w:hAnsiTheme="minorHAnsi"/>
                <w:kern w:val="0"/>
                <w:sz w:val="18"/>
                <w:szCs w:val="18"/>
                <w:lang w:val="fr-FR" w:eastAsia="fr-FR" w:bidi="ar-SA"/>
              </w:rPr>
              <w:t>(Indice base 100 en 1984)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Source : Enquête emploi, INSEE, in « La dévalorisation des services relationnels dans les pratiques et les conventions dominantes », L'Homme et la société, n°163-164, 2007.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pacing w:val="6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En 2004, l’indice de l’emploi total non qualifié 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Entre 1984 et 1994, l’emploi total non qualifié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Entre 1992 et 2004, l’indice des employés non qualifiés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, passant de 105 à 155.</w:t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Une contribution en points de %</w:t>
            </w:r>
          </w:p>
        </w:tc>
        <w:tc>
          <w:tcPr>
            <w:tcW w:w="9587" w:type="dxa"/>
            <w:tcBorders/>
          </w:tcPr>
          <w:p>
            <w:pPr>
              <w:pStyle w:val="Caption"/>
              <w:widowControl/>
              <w:shd w:val="clear" w:color="auto" w:fill="D9D9D9" w:themeFill="background1" w:themeFillShade="d9"/>
              <w:spacing w:before="60" w:after="60"/>
              <w:jc w:val="left"/>
              <w:rPr>
                <w:b w:val="false"/>
                <w:bCs/>
                <w:i w:val="false"/>
                <w:i w:val="false"/>
                <w:iCs w:val="false"/>
                <w:sz w:val="18"/>
              </w:rPr>
            </w:pPr>
            <w:r>
              <w:rPr>
                <w:kern w:val="0"/>
                <w:lang w:val="fr-FR" w:bidi="ar-SA"/>
              </w:rPr>
              <w:t>Taux de croissance annuels moyens du PIB (en %) et contributions (en pts de %) des facteurs de production à la croissance, 1985-2010</w:t>
            </w:r>
            <w:r>
              <w:rPr>
                <w:kern w:val="0"/>
                <w:lang w:val="fr-FR" w:bidi="ar-SA"/>
              </w:rPr>
              <w:drawing>
                <wp:inline distT="0" distB="0" distL="0" distR="0">
                  <wp:extent cx="6645910" cy="1372235"/>
                  <wp:effectExtent l="0" t="0" r="0" b="0"/>
                  <wp:docPr id="2" name="Image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1963" t="21734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137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bCs/>
                <w:i w:val="false"/>
                <w:iCs w:val="false"/>
                <w:kern w:val="0"/>
                <w:sz w:val="18"/>
                <w:u w:val="single"/>
                <w:lang w:val="fr-FR" w:bidi="ar-SA"/>
              </w:rPr>
              <w:t>Note :</w:t>
            </w:r>
            <w:r>
              <w:rPr>
                <w:b w:val="false"/>
                <w:bCs/>
                <w:i w:val="false"/>
                <w:iCs w:val="false"/>
                <w:kern w:val="0"/>
                <w:sz w:val="18"/>
                <w:lang w:val="fr-FR" w:bidi="ar-SA"/>
              </w:rPr>
              <w:t xml:space="preserve"> Lorsqu’une contribution à la croissance est positive, cela signifie que les quantités de capital ont augmenté sur la période et que cette hausse des quantités de capital a entraîné de la croissance. Si une contribution à la croissance est négative, cela signifie que les quantités de capital ont diminué sur la période et que cette baisse des quantités de capital a freiné la croissance du PIB.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Clé de lecture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 : Entre 1985 et 2010, en France, le PIB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Le facteur capital [phrase avec 0,7]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décile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Une médiane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écart interquantile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 rapport interquantile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</w:r>
          </w:p>
        </w:tc>
        <w:tc>
          <w:tcPr>
            <w:tcW w:w="9587" w:type="dxa"/>
            <w:tcBorders/>
          </w:tcPr>
          <w:tbl>
            <w:tblPr>
              <w:tblpPr w:vertAnchor="text" w:horzAnchor="margin" w:leftFromText="141" w:rightFromText="141" w:tblpX="7" w:tblpY="443"/>
              <w:tblOverlap w:val="never"/>
              <w:tblW w:w="2902" w:type="dxa"/>
              <w:jc w:val="left"/>
              <w:tblInd w:w="-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318"/>
              <w:gridCol w:w="808"/>
              <w:gridCol w:w="776"/>
            </w:tblGrid>
            <w:tr>
              <w:trPr>
                <w:trHeight w:val="227" w:hRule="atLeast"/>
              </w:trPr>
              <w:tc>
                <w:tcPr>
                  <w:tcW w:w="290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i/>
                      <w:iCs/>
                      <w:sz w:val="16"/>
                      <w:szCs w:val="16"/>
                    </w:rPr>
                    <w:t xml:space="preserve">en 2007 en euros courants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Décile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Hommes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Femmes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1ème décile (D1)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  <w:t xml:space="preserve">2 872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1 770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2ème décile (D2)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8 260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5 053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3ème décile (D3)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13 233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8 724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4ème décile (D4)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15 652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12 084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Médiane (D5)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  <w:t xml:space="preserve">17 748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14 472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6ème décile (D6)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20 093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16 614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7ème décile (D7)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23 120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19 137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8ème décile (D8)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27 842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22 570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9ème décile (D9)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37 259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jc w:val="righ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28 236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D9/D1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13,0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sz w:val="16"/>
                      <w:szCs w:val="16"/>
                      <w:u w:val="single"/>
                    </w:rPr>
                    <w:t xml:space="preserve">16,0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D9/D5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2,0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2,0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color w:val="393B3A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b/>
                      <w:bCs/>
                      <w:color w:val="393B3A"/>
                      <w:sz w:val="16"/>
                      <w:szCs w:val="16"/>
                    </w:rPr>
                    <w:t xml:space="preserve">D5/D1 </w:t>
                  </w:r>
                </w:p>
              </w:tc>
              <w:tc>
                <w:tcPr>
                  <w:tcW w:w="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6,0 </w:t>
                  </w:r>
                </w:p>
              </w:tc>
              <w:tc>
                <w:tcPr>
                  <w:tcW w:w="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="Calibri" w:hAnsi="Calibri" w:asciiTheme="minorHAnsi" w:hAnsiTheme="minorHAnsi"/>
                      <w:sz w:val="16"/>
                      <w:szCs w:val="16"/>
                    </w:rPr>
                    <w:t xml:space="preserve">8,0 </w:t>
                  </w:r>
                </w:p>
              </w:tc>
            </w:tr>
          </w:tbl>
          <w:p>
            <w:pPr>
              <w:pStyle w:val="CM1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rFonts w:ascii="Calibri" w:hAnsi="Calibri" w:asciiTheme="minorHAnsi" w:hAnsiTheme="minorHAnsi"/>
                <w:color w:val="393B3A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393B3A"/>
                <w:kern w:val="0"/>
                <w:sz w:val="18"/>
                <w:szCs w:val="18"/>
                <w:lang w:val="fr-FR" w:eastAsia="fr-FR" w:bidi="ar-SA"/>
              </w:rPr>
              <w:t>Distribution du revenu salarial</w:t>
            </w:r>
            <w:r>
              <w:rPr>
                <w:rFonts w:cs="Times New Roman" w:ascii="Calibri" w:hAnsi="Calibri" w:asciiTheme="minorHAnsi" w:hAnsiTheme="minorHAnsi"/>
                <w:b/>
                <w:bCs/>
                <w:color w:val="393B3A"/>
                <w:kern w:val="0"/>
                <w:position w:val="11"/>
                <w:sz w:val="18"/>
                <w:szCs w:val="18"/>
                <w:lang w:val="fr-FR" w:eastAsia="fr-FR" w:bidi="ar-SA"/>
              </w:rPr>
              <w:t xml:space="preserve">(1) </w:t>
            </w:r>
            <w:r>
              <w:rPr>
                <w:rFonts w:cs="Times New Roman" w:ascii="Calibri" w:hAnsi="Calibri" w:asciiTheme="minorHAnsi" w:hAnsiTheme="minorHAnsi"/>
                <w:b/>
                <w:bCs/>
                <w:color w:val="393B3A"/>
                <w:kern w:val="0"/>
                <w:sz w:val="18"/>
                <w:szCs w:val="18"/>
                <w:lang w:val="fr-FR" w:eastAsia="fr-FR" w:bidi="ar-SA"/>
              </w:rPr>
              <w:t>par sexe sur l'ensemble des salariés (</w:t>
            </w:r>
            <w:r>
              <w:rPr>
                <w:rFonts w:cs="Times New Roman" w:ascii="Calibri" w:hAnsi="Calibri" w:asciiTheme="minorHAnsi" w:hAnsiTheme="minorHAnsi"/>
                <w:i/>
                <w:iCs/>
                <w:kern w:val="0"/>
                <w:sz w:val="18"/>
                <w:szCs w:val="18"/>
                <w:lang w:val="fr-FR" w:eastAsia="fr-FR" w:bidi="ar-SA"/>
              </w:rPr>
              <w:t>Source : Insee, DADS).</w:t>
            </w:r>
          </w:p>
          <w:p>
            <w:pPr>
              <w:pStyle w:val="Default"/>
              <w:spacing w:lineRule="atLeast" w:line="231" w:before="0" w:after="0"/>
              <w:jc w:val="both"/>
              <w:rPr>
                <w:rFonts w:ascii="Calibri" w:hAnsi="Calibri"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color w:val="auto"/>
                <w:kern w:val="0"/>
                <w:position w:val="9"/>
                <w:sz w:val="18"/>
                <w:szCs w:val="18"/>
                <w:lang w:val="fr-FR" w:eastAsia="fr-FR" w:bidi="ar-SA"/>
              </w:rPr>
              <w:t xml:space="preserve">(1) </w:t>
            </w:r>
            <w:r>
              <w:rPr>
                <w:rFonts w:cs="Times New Roman" w:ascii="Calibri" w:hAnsi="Calibri" w:asciiTheme="minorHAnsi" w:hAnsiTheme="minorHAnsi"/>
                <w:color w:val="auto"/>
                <w:kern w:val="0"/>
                <w:sz w:val="18"/>
                <w:szCs w:val="18"/>
                <w:lang w:val="fr-FR" w:eastAsia="fr-FR" w:bidi="ar-SA"/>
              </w:rPr>
              <w:t xml:space="preserve">Le revenu salarial correspond à la somme de tous les salaires perçus par un individu au cours d’une année donnée. Champ : tous les revenus salariaux, y compris temps partiel, contrats à durée déterminée et contrats de travail temporaire.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Décile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 : En 2007,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Médiane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 :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Ecart interdécile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D9 – D1 :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Rapport interdécile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D9/D1 :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Top x%</w:t>
            </w:r>
          </w:p>
        </w:tc>
        <w:tc>
          <w:tcPr>
            <w:tcW w:w="95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drawing>
                <wp:anchor behindDoc="0" distT="0" distB="0" distL="114300" distR="114300" simplePos="0" locked="0" layoutInCell="1" allowOverlap="1" relativeHeight="6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65405</wp:posOffset>
                  </wp:positionV>
                  <wp:extent cx="4794250" cy="2377440"/>
                  <wp:effectExtent l="0" t="0" r="0" b="0"/>
                  <wp:wrapSquare wrapText="bothSides"/>
                  <wp:docPr id="3" name="Image 32" descr="Part de revenu des 1 % du haut et des 50 % du bas de la répartition aux États-Unis (1890-2016) : Divergence des trajectoires d’inégalité des reven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2" descr="Part de revenu des 1 % du haut et des 50 % du bas de la répartition aux États-Unis (1890-2016) : Divergence des trajectoires d’inégalité des reven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0" t="7677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0"/>
              <w:jc w:val="left"/>
              <w:rPr>
                <w:sz w:val="18"/>
              </w:rPr>
            </w:pPr>
            <w:r>
              <w:rPr>
                <w:rFonts w:eastAsia="Calibri" w:cs="Times New Roman"/>
                <w:kern w:val="0"/>
                <w:sz w:val="18"/>
                <w:u w:val="single"/>
                <w:lang w:val="fr-FR" w:bidi="ar-SA"/>
              </w:rPr>
              <w:t xml:space="preserve">Source : </w:t>
            </w:r>
            <w:r>
              <w:rPr>
                <w:rFonts w:eastAsia="Calibri" w:cs="Times New Roman"/>
                <w:kern w:val="0"/>
                <w:sz w:val="18"/>
                <w:lang w:val="fr-FR" w:bidi="ar-SA"/>
              </w:rPr>
              <w:t>World inequality Database, 2017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Selon le World Inequality Database, aux USA, [phase avec le 11% de 1980]…………………………………………………………………………………..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Les inégalités entre les plus riches et le reste de la population ont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fr-FR" w:bidi="ar-SA"/>
              </w:rPr>
              <w:t>augmenté/diminué/stagné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car………………………………………………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Une courbe de Lorenz</w:t>
            </w:r>
          </w:p>
        </w:tc>
        <w:tc>
          <w:tcPr>
            <w:tcW w:w="958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Arial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18"/>
                <w:szCs w:val="18"/>
                <w:lang w:val="fr-FR" w:bidi="ar-SA"/>
              </w:rPr>
              <w:t>Concentration du revenu disponible et du patrimoine financier des ménages en France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asciiTheme="minorHAnsi" w:hAnsiTheme="minorHAnsi"/>
                <w:color w:val="000000"/>
                <w:sz w:val="18"/>
                <w:szCs w:val="18"/>
              </w:rPr>
            </w:pPr>
            <w: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3479165" cy="2155190"/>
                  <wp:effectExtent l="0" t="0" r="0" b="0"/>
                  <wp:wrapSquare wrapText="bothSides"/>
                  <wp:docPr id="4" name="Image2" descr="E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E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165" cy="215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Times New Roman"/>
                <w:color w:val="000000"/>
                <w:spacing w:val="-2"/>
                <w:kern w:val="0"/>
                <w:sz w:val="18"/>
                <w:szCs w:val="18"/>
                <w:lang w:val="fr-FR" w:bidi="ar-SA"/>
              </w:rPr>
              <w:t>Champ : ménages dont la personne de référence n'est pas étudiante et dont le revenu déclaré est positif ou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fr-FR" w:bidi="ar-SA"/>
              </w:rPr>
              <w:t xml:space="preserve"> nul.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fr-FR" w:bidi="ar-SA"/>
              </w:rPr>
              <w:t>Les données sont des pourcentages cumulés. L'axe des abscisses correspond aux ménages et l'axe des ordonnées aux parts de revenu ou de patrimoine.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fr-FR" w:bidi="ar-SA"/>
              </w:rPr>
              <w:t xml:space="preserve">Sources : « La prise en compte des revenus du patrimoine dans la mesure des inégalités », BACLET Alexandre et RAYNAUD Emilie, 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18"/>
                <w:szCs w:val="18"/>
                <w:lang w:val="fr-FR" w:bidi="ar-SA"/>
              </w:rPr>
              <w:t xml:space="preserve">Economie </w:t>
            </w:r>
            <w:r>
              <w:rPr>
                <w:rFonts w:eastAsia="Calibri" w:cs="Times New Roman"/>
                <w:i/>
                <w:iCs/>
                <w:color w:val="000000"/>
                <w:spacing w:val="2"/>
                <w:kern w:val="0"/>
                <w:sz w:val="18"/>
                <w:szCs w:val="18"/>
                <w:lang w:val="fr-FR" w:bidi="ar-SA"/>
              </w:rPr>
              <w:t xml:space="preserve">et statistique, 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fr-FR" w:bidi="ar-SA"/>
              </w:rPr>
              <w:t>2008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Les 10% des ménages les plus modestes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>40% _____________________________________________________________________________________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Les inégalités de patrimoine sont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que les inégalités de revenu disponible car la concentration du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est la plus forte et la courbe de Lorenz la plus éloignée de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Coefficient de Gini</w:t>
            </w:r>
          </w:p>
        </w:tc>
        <w:tc>
          <w:tcPr>
            <w:tcW w:w="9587" w:type="dxa"/>
            <w:tcBorders/>
          </w:tcPr>
          <w:p>
            <w:pPr>
              <w:pStyle w:val="Caption"/>
              <w:widowControl/>
              <w:spacing w:before="0" w:after="200"/>
              <w:jc w:val="left"/>
              <w:rPr>
                <w:kern w:val="0"/>
                <w:lang w:val="fr-FR" w:bidi="ar-SA"/>
              </w:rPr>
            </w:pPr>
            <w:r>
              <w:rPr>
                <w:kern w:val="0"/>
                <w:lang w:val="fr-FR" w:bidi="ar-SA"/>
              </w:rPr>
              <w:t xml:space="preserve">Document </w:t>
            </w:r>
            <w:r>
              <w:rPr>
                <w:kern w:val="0"/>
                <w:lang w:val="fr-FR" w:bidi="ar-SA"/>
              </w:rPr>
              <w:fldChar w:fldCharType="begin"/>
            </w:r>
            <w:r>
              <w:rPr>
                <w:kern w:val="0"/>
                <w:lang w:val="fr-FR" w:bidi="ar-SA"/>
              </w:rPr>
              <w:instrText xml:space="preserve"> SEQ Figure \* ARABIC </w:instrText>
            </w:r>
            <w:r>
              <w:rPr>
                <w:kern w:val="0"/>
                <w:lang w:val="fr-FR" w:bidi="ar-SA"/>
              </w:rPr>
              <w:fldChar w:fldCharType="separate"/>
            </w:r>
            <w:r>
              <w:rPr>
                <w:kern w:val="0"/>
                <w:lang w:val="fr-FR" w:bidi="ar-SA"/>
              </w:rPr>
              <w:t>8</w:t>
            </w:r>
            <w:r>
              <w:rPr>
                <w:kern w:val="0"/>
                <w:lang w:val="fr-FR" w:bidi="ar-SA"/>
              </w:rPr>
              <w:fldChar w:fldCharType="end"/>
            </w:r>
            <w:r>
              <w:rPr>
                <w:kern w:val="0"/>
                <w:lang w:val="fr-FR" w:bidi="ar-SA"/>
              </w:rPr>
              <w:t>: Evolutions nationales de l’indice de Gini du niveau de vie entre 1985 et 2012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drawing>
                <wp:inline distT="0" distB="0" distL="0" distR="0">
                  <wp:extent cx="4881880" cy="2269490"/>
                  <wp:effectExtent l="0" t="0" r="0" b="0"/>
                  <wp:docPr id="5" name="Imag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880" cy="226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kern w:val="0"/>
                <w:sz w:val="18"/>
                <w:szCs w:val="18"/>
                <w:lang w:val="fr-FR" w:bidi="ar-SA"/>
              </w:rPr>
              <w:t>Selon l’OCDE, en France, on peut dire que les inégalités ont ……………………………………………………………………… entre 1996 et 2012, car………………………………………………………………………………………………………………………………………………………………………………………………..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>
        <w:trPr/>
        <w:tc>
          <w:tcPr>
            <w:tcW w:w="13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Times New Roman"/>
                <w:kern w:val="0"/>
                <w:lang w:val="fr-FR" w:bidi="ar-SA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>Corrélation</w:t>
            </w:r>
          </w:p>
        </w:tc>
        <w:tc>
          <w:tcPr>
            <w:tcW w:w="95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60" w:after="60"/>
              <w:jc w:val="left"/>
              <w:rPr>
                <w:rFonts w:cs="Calibri" w:cstheme="minorHAnsi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i/>
                <w:iCs/>
                <w:kern w:val="0"/>
                <w:sz w:val="18"/>
                <w:szCs w:val="18"/>
                <w:lang w:val="fr-FR" w:bidi="ar-SA"/>
              </w:rPr>
              <w:t>Document 5-a : Prévalence (%) de l’obésité féminine en fonction du revenu en euros, par sexe</w:t>
            </w:r>
          </w:p>
          <w:tbl>
            <w:tblPr>
              <w:tblStyle w:val="Grilledutableau"/>
              <w:tblpPr w:vertAnchor="text" w:horzAnchor="text" w:leftFromText="141" w:rightFromText="141" w:tblpX="-284" w:tblpY="1"/>
              <w:tblOverlap w:val="never"/>
              <w:tblW w:w="935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97"/>
              <w:gridCol w:w="1182"/>
              <w:gridCol w:w="1149"/>
              <w:gridCol w:w="1183"/>
              <w:gridCol w:w="1183"/>
              <w:gridCol w:w="1183"/>
              <w:gridCol w:w="937"/>
              <w:gridCol w:w="936"/>
            </w:tblGrid>
            <w:tr>
              <w:trPr/>
              <w:tc>
                <w:tcPr>
                  <w:tcW w:w="1597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b/>
                      <w:bCs/>
                      <w:kern w:val="0"/>
                      <w:sz w:val="18"/>
                      <w:szCs w:val="18"/>
                      <w:lang w:val="fr-FR" w:bidi="ar-SA"/>
                    </w:rPr>
                    <w:t>Revenus</w:t>
                  </w:r>
                </w:p>
              </w:tc>
              <w:tc>
                <w:tcPr>
                  <w:tcW w:w="1182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Moins de 450€</w:t>
                  </w:r>
                </w:p>
              </w:tc>
              <w:tc>
                <w:tcPr>
                  <w:tcW w:w="1149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Entre 450 et 999€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Entre 1000 et 1499€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Entre 1500 et 2099€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Entre 2100 et 2799€</w:t>
                  </w:r>
                </w:p>
              </w:tc>
              <w:tc>
                <w:tcPr>
                  <w:tcW w:w="937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De 2800 à 4200</w:t>
                  </w:r>
                </w:p>
              </w:tc>
              <w:tc>
                <w:tcPr>
                  <w:tcW w:w="936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4200€ ou plus</w:t>
                  </w:r>
                </w:p>
              </w:tc>
            </w:tr>
            <w:tr>
              <w:trPr/>
              <w:tc>
                <w:tcPr>
                  <w:tcW w:w="1597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b/>
                      <w:bCs/>
                      <w:kern w:val="0"/>
                      <w:sz w:val="18"/>
                      <w:szCs w:val="18"/>
                      <w:lang w:val="fr-FR" w:bidi="ar-SA"/>
                    </w:rPr>
                    <w:t>Part d’obèses dans la catégorie (en %)</w:t>
                  </w:r>
                </w:p>
              </w:tc>
              <w:tc>
                <w:tcPr>
                  <w:tcW w:w="1182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30,7</w:t>
                  </w:r>
                </w:p>
              </w:tc>
              <w:tc>
                <w:tcPr>
                  <w:tcW w:w="1149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25,6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24,6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18,6</w:t>
                  </w:r>
                </w:p>
              </w:tc>
              <w:tc>
                <w:tcPr>
                  <w:tcW w:w="1183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19,3</w:t>
                  </w:r>
                </w:p>
              </w:tc>
              <w:tc>
                <w:tcPr>
                  <w:tcW w:w="937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11,2</w:t>
                  </w:r>
                </w:p>
              </w:tc>
              <w:tc>
                <w:tcPr>
                  <w:tcW w:w="936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7</w:t>
                  </w:r>
                </w:p>
              </w:tc>
            </w:tr>
          </w:tbl>
          <w:p>
            <w:pPr>
              <w:pStyle w:val="Normal"/>
              <w:widowControl/>
              <w:shd w:val="clear" w:color="auto" w:fill="BFBFBF" w:themeFill="background1" w:themeFillShade="bf"/>
              <w:spacing w:before="6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 xml:space="preserve">Source : 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INSERM, 2017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Selon l’INSERM, en France, en 2017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fr-FR" w:bidi="ar-SA"/>
              </w:rPr>
              <w:t>il y a une corrélation positive/ il y a une corrélation négative/il n’y a pas de corrélation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entre niveau de revenus et obésité des femmes, car …………………………………………………………………………………………………………………….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i/>
                <w:i/>
                <w:iCs/>
                <w:sz w:val="18"/>
                <w:szCs w:val="18"/>
              </w:rPr>
            </w:pPr>
            <w:r>
              <w:drawing>
                <wp:anchor behindDoc="0" distT="0" distB="0" distL="114300" distR="114300" simplePos="0" locked="0" layoutInCell="1" allowOverlap="1" relativeHeight="7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237490</wp:posOffset>
                  </wp:positionV>
                  <wp:extent cx="4981575" cy="2831465"/>
                  <wp:effectExtent l="0" t="0" r="0" b="0"/>
                  <wp:wrapSquare wrapText="bothSides"/>
                  <wp:docPr id="6" name="Image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62" t="1712" r="96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2831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Calibri" w:cstheme="minorHAnsi"/>
                <w:b/>
                <w:i/>
                <w:iCs/>
                <w:kern w:val="0"/>
                <w:sz w:val="18"/>
                <w:szCs w:val="18"/>
                <w:lang w:val="fr-FR" w:bidi="ar-SA"/>
              </w:rPr>
              <w:t>Document 5-b : Espérance de vie par sexe et niveau de vie mensuel en France (France, moyenne 2012-2016)</w:t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60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Note :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en abscisse, chaque point correspond à la moyenne des niveaux de vie mensuels d'un vingtile. Chaque vingtile comprend 5 % de la population. </w:t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60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Lecture :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en 2012-2016, parmi les 5 % les plus aisés, dont le niveau de vie moyen est de 5 800 euros par mois, l'espérance de vie à la naissance des hommes est de 84,4 ans. </w:t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60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60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 xml:space="preserve">Champ : 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France hors Mayotte.</w:t>
            </w:r>
          </w:p>
          <w:p>
            <w:pPr>
              <w:pStyle w:val="Normal"/>
              <w:widowControl/>
              <w:shd w:val="clear" w:color="auto" w:fill="BFBFBF" w:themeFill="background1" w:themeFillShade="bf"/>
              <w:spacing w:before="0" w:after="0"/>
              <w:ind w:left="360"/>
              <w:jc w:val="both"/>
              <w:rPr>
                <w:sz w:val="18"/>
                <w:szCs w:val="18"/>
              </w:rPr>
            </w:pPr>
            <w:r>
              <w:rPr>
                <w:rStyle w:val="Emphasis"/>
                <w:rFonts w:eastAsia="Calibri" w:cs="Times New Roman"/>
                <w:kern w:val="0"/>
                <w:sz w:val="18"/>
                <w:szCs w:val="18"/>
                <w:u w:val="single"/>
                <w:lang w:val="fr-FR" w:bidi="ar-SA"/>
              </w:rPr>
              <w:t>Source :</w:t>
            </w:r>
            <w:r>
              <w:rPr>
                <w:rStyle w:val="Emphasis"/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Insee-DGFIP-Cnaf-Cnav-CCMSA, Échantillon démographique permanent.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rFonts w:eastAsia="Calibri" w:cs="Times New Roman"/>
                <w:kern w:val="0"/>
                <w:lang w:val="fr-FR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Selon l’INSEE, en France, en moyenne entre 2012 et 2016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fr-FR" w:bidi="ar-SA"/>
              </w:rPr>
              <w:t>il y a une corrélation positive/ il y a une corrélation négative/il n’y a pas de corrélation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entre espérance de vie et niveau de vie, car ………………………………………………………………………………………………….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Ne pas confondre</w:t>
      </w:r>
    </w:p>
    <w:tbl>
      <w:tblPr>
        <w:tblStyle w:val="Grilledutableau"/>
        <w:tblW w:w="109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5"/>
        <w:gridCol w:w="9386"/>
      </w:tblGrid>
      <w:tr>
        <w:trPr/>
        <w:tc>
          <w:tcPr>
            <w:tcW w:w="151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Ecarts en points et augmentation en %</w:t>
            </w:r>
          </w:p>
        </w:tc>
        <w:tc>
          <w:tcPr>
            <w:tcW w:w="9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u w:val="single"/>
                <w:lang w:val="fr-FR" w:bidi="ar-SA"/>
              </w:rPr>
              <w:t>Taux de chômage</w:t>
            </w:r>
          </w:p>
          <w:tbl>
            <w:tblPr>
              <w:tblStyle w:val="Grilledutableau"/>
              <w:tblW w:w="91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058"/>
              <w:gridCol w:w="3052"/>
              <w:gridCol w:w="3051"/>
            </w:tblGrid>
            <w:tr>
              <w:trPr/>
              <w:tc>
                <w:tcPr>
                  <w:tcW w:w="3058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Juillet 2009</w:t>
                  </w:r>
                </w:p>
              </w:tc>
              <w:tc>
                <w:tcPr>
                  <w:tcW w:w="3051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Mars 2015</w:t>
                  </w:r>
                </w:p>
              </w:tc>
            </w:tr>
            <w:tr>
              <w:trPr/>
              <w:tc>
                <w:tcPr>
                  <w:tcW w:w="3058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Taux de chômage en Allemagne</w:t>
                  </w:r>
                </w:p>
              </w:tc>
              <w:tc>
                <w:tcPr>
                  <w:tcW w:w="3052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7,9</w:t>
                  </w:r>
                </w:p>
              </w:tc>
              <w:tc>
                <w:tcPr>
                  <w:tcW w:w="3051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18"/>
                      <w:lang w:val="fr-FR" w:bidi="ar-SA"/>
                    </w:rPr>
                    <w:t>4,7%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Symbol" w:cs="Symbol" w:ascii="Symbol" w:hAnsi="Symbol"/>
                <w:spacing w:val="6"/>
                <w:kern w:val="0"/>
                <w:sz w:val="18"/>
                <w:szCs w:val="18"/>
                <w:lang w:val="fr-FR" w:bidi="ar-SA"/>
              </w:rPr>
              <w:sym w:font="Symbol" w:char="f0b7"/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>En mars 2015, [phrase avec 7,9]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Symbol" w:cs="Symbol" w:ascii="Symbol" w:hAnsi="Symbol"/>
                <w:spacing w:val="6"/>
                <w:kern w:val="0"/>
                <w:sz w:val="18"/>
                <w:szCs w:val="18"/>
                <w:lang w:val="fr-FR" w:bidi="ar-SA"/>
              </w:rPr>
              <w:sym w:font="Symbol" w:char="f0b7"/>
            </w:r>
            <w:r>
              <w:rPr>
                <w:rFonts w:eastAsia="Calibri" w:cs="Times New Roman"/>
                <w:spacing w:val="6"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Le taux de chômage en Allemagne a </w:t>
            </w:r>
            <w:r>
              <w:rPr>
                <w:rFonts w:eastAsia="Calibri" w:cs="Times New Roman"/>
                <w:color w:val="0070C0"/>
                <w:kern w:val="0"/>
                <w:sz w:val="18"/>
                <w:szCs w:val="18"/>
                <w:lang w:val="fr-FR" w:bidi="ar-SA"/>
              </w:rPr>
              <w:t>________________________________________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lang w:val="fr-FR" w:bidi="ar-SA"/>
              </w:rPr>
              <w:t xml:space="preserve"> entre juillet 2009 et mars 2015.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i/>
                <w:kern w:val="0"/>
                <w:sz w:val="18"/>
                <w:szCs w:val="18"/>
                <w:lang w:val="fr-FR" w:bidi="ar-SA"/>
              </w:rPr>
              <w:sym w:font="Wingdings" w:char="f024"/>
            </w:r>
            <w:r>
              <w:rPr>
                <w:rFonts w:eastAsia="Calibri" w:cs="Times New Roman"/>
                <w:b/>
                <w:i/>
                <w:kern w:val="0"/>
                <w:sz w:val="18"/>
                <w:szCs w:val="18"/>
                <w:lang w:val="fr-FR" w:bidi="ar-SA"/>
              </w:rPr>
              <w:t>A noter :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eastAsia="Calibri" w:cs="Times New Roman"/>
                <w:b/>
                <w:i/>
                <w:kern w:val="0"/>
                <w:sz w:val="18"/>
                <w:szCs w:val="18"/>
                <w:lang w:val="fr-FR" w:bidi="ar-SA"/>
              </w:rPr>
              <w:t>On parle de « point » quand on décrit l’évolution d’une partie d’un tout.</w:t>
            </w:r>
            <w:r>
              <w:rPr>
                <w:rFonts w:eastAsia="Calibri" w:cs="Times New Roman"/>
                <w:kern w:val="0"/>
                <w:sz w:val="18"/>
                <w:szCs w:val="18"/>
                <w:lang w:val="fr-FR" w:bidi="ar-SA"/>
              </w:rPr>
              <w:t xml:space="preserve"> 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568" w:right="426" w:gutter="0" w:header="421" w:top="720" w:footer="0" w:bottom="145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swiss"/>
    <w:pitch w:val="variable"/>
  </w:font>
  <w:font w:name="Wingdings">
    <w:charset w:val="0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Questionnaire révisions savoir-faire statistiques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Questionnaire révisions savoir-faire statistiques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asciiTheme="minorHAnsi" w:hAnsi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13d5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811ebb"/>
    <w:rPr>
      <w:sz w:val="22"/>
      <w:szCs w:val="22"/>
      <w:lang w:eastAsia="en-US"/>
    </w:rPr>
  </w:style>
  <w:style w:type="character" w:styleId="PieddepageCar" w:customStyle="1">
    <w:name w:val="Pied de page Car"/>
    <w:basedOn w:val="DefaultParagraphFont"/>
    <w:uiPriority w:val="99"/>
    <w:qFormat/>
    <w:rsid w:val="00811ebb"/>
    <w:rPr>
      <w:sz w:val="22"/>
      <w:szCs w:val="22"/>
      <w:lang w:eastAsia="en-US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11ebb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bd7883"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8a6613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b/>
      <w:i/>
      <w:iCs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13d5"/>
    <w:pPr>
      <w:spacing w:before="0" w:after="0"/>
      <w:ind w:left="72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11e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11e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11ebb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bc693c"/>
    <w:pPr>
      <w:widowControl w:val="false"/>
      <w:bidi w:val="0"/>
      <w:spacing w:before="0" w:after="0"/>
      <w:jc w:val="left"/>
    </w:pPr>
    <w:rPr>
      <w:rFonts w:ascii="Times New Roman" w:hAnsi="Times New Roman" w:eastAsia="" w:eastAsiaTheme="minorEastAsia" w:cs="Times New Roman"/>
      <w:color w:val="000000"/>
      <w:kern w:val="0"/>
      <w:sz w:val="24"/>
      <w:szCs w:val="24"/>
      <w:lang w:val="fr-FR" w:eastAsia="fr-FR" w:bidi="ar-SA"/>
    </w:rPr>
  </w:style>
  <w:style w:type="paragraph" w:styleId="CM11" w:customStyle="1">
    <w:name w:val="CM11"/>
    <w:basedOn w:val="Default"/>
    <w:next w:val="Default"/>
    <w:uiPriority w:val="99"/>
    <w:qFormat/>
    <w:rsid w:val="004c182e"/>
    <w:pPr>
      <w:spacing w:before="0" w:after="248"/>
    </w:pPr>
    <w:rPr>
      <w:color w:val="auto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11e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LibreOffice/24.8.6.2$Windows_X86_64 LibreOffice_project/6d98ba145e9a8a39fc57bcc76981d1fb1316c60c</Application>
  <AppVersion>15.0000</AppVersion>
  <Pages>4</Pages>
  <Words>1184</Words>
  <Characters>8065</Characters>
  <CharactersWithSpaces>9031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2022-04-06T13:24:00Z</dcterms:created>
  <dc:creator>Olivier</dc:creator>
  <dc:description/>
  <dc:language>fr-FR</dc:language>
  <cp:lastModifiedBy>Olivier Louail</cp:lastModifiedBy>
  <dcterms:modified xsi:type="dcterms:W3CDTF">2022-04-06T13:44:00Z</dcterms:modified>
  <cp:revision>5</cp:revision>
  <dc:subject/>
  <dc:title>AP : Révisions savoir-faire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