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Arial" w:hAnsi="Arial" w:cs="Arial"/>
          <w:b/>
          <w:color w:themeColor="background1" w:val="FFFFFF"/>
          <w:szCs w:val="20"/>
        </w:rPr>
      </w:pPr>
      <w:r>
        <w:rPr>
          <w:rFonts w:cs="Arial" w:ascii="Arial" w:hAnsi="Arial"/>
          <w:b/>
          <w:color w:themeColor="background1" w:val="FFFFFF"/>
          <w:szCs w:val="20"/>
          <w:highlight w:val="darkGray"/>
        </w:rPr>
        <w:t>E</w:t>
      </w:r>
      <w:r>
        <w:rPr>
          <w:rFonts w:cs="Arial" w:ascii="Arial" w:hAnsi="Arial"/>
          <w:b/>
          <w:color w:themeColor="background1" w:val="FFFFFF"/>
          <w:szCs w:val="20"/>
          <w:highlight w:val="darkGray"/>
        </w:rPr>
        <w:t>xercices de compréhension</w:t>
      </w:r>
    </w:p>
    <w:p>
      <w:pPr>
        <w:pStyle w:val="Normal"/>
        <w:spacing w:before="0" w:after="0"/>
        <w:rPr>
          <w:rFonts w:ascii="Arial" w:hAnsi="Arial" w:cs="Arial"/>
          <w:b/>
          <w:color w:val="000000"/>
          <w:szCs w:val="20"/>
        </w:rPr>
      </w:pPr>
      <w:r>
        <w:rPr>
          <w:rFonts w:cs="Arial" w:ascii="Arial" w:hAnsi="Arial"/>
          <w:b/>
          <w:color w:val="000000"/>
          <w:szCs w:val="20"/>
        </w:rPr>
      </w:r>
    </w:p>
    <w:p>
      <w:pPr>
        <w:pStyle w:val="NoSpacing"/>
        <w:rPr>
          <w:rFonts w:ascii="Arial" w:hAnsi="Arial" w:cs="Arial"/>
          <w:sz w:val="20"/>
          <w:szCs w:val="20"/>
        </w:rPr>
      </w:pPr>
      <w:r>
        <w:rPr>
          <w:rFonts w:cs="Arial" w:ascii="Arial" w:hAnsi="Arial"/>
          <w:b/>
          <w:sz w:val="20"/>
          <w:szCs w:val="20"/>
        </w:rPr>
        <w:t>Exercice 1</w:t>
      </w:r>
      <w:r>
        <w:rPr>
          <w:rFonts w:cs="Arial" w:ascii="Arial" w:hAnsi="Arial"/>
          <w:sz w:val="20"/>
          <w:szCs w:val="20"/>
        </w:rPr>
        <w:t xml:space="preserve"> : </w:t>
      </w:r>
    </w:p>
    <w:p>
      <w:pPr>
        <w:pStyle w:val="NoSpacing"/>
        <w:numPr>
          <w:ilvl w:val="0"/>
          <w:numId w:val="1"/>
        </w:numPr>
        <w:rPr>
          <w:rFonts w:ascii="Arial" w:hAnsi="Arial" w:cs="Arial"/>
          <w:b/>
          <w:sz w:val="20"/>
          <w:szCs w:val="20"/>
        </w:rPr>
      </w:pPr>
      <w:r>
        <w:rPr>
          <w:rFonts w:cs="Arial" w:ascii="Arial" w:hAnsi="Arial"/>
          <w:b/>
          <w:sz w:val="20"/>
          <w:szCs w:val="20"/>
        </w:rPr>
        <w:t>Relier les éléments :</w:t>
      </w:r>
    </w:p>
    <w:p>
      <w:pPr>
        <w:pStyle w:val="NoSpacing"/>
        <w:rPr>
          <w:rFonts w:ascii="Arial" w:hAnsi="Arial" w:cs="Arial"/>
          <w:sz w:val="20"/>
          <w:szCs w:val="20"/>
        </w:rPr>
      </w:pPr>
      <w:r>
        <w:rPr>
          <w:rFonts w:cs="Arial" w:ascii="Arial" w:hAnsi="Arial"/>
          <w:sz w:val="20"/>
          <w:szCs w:val="20"/>
        </w:rPr>
      </w:r>
    </w:p>
    <w:tbl>
      <w:tblPr>
        <w:tblW w:w="146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42"/>
        <w:gridCol w:w="359"/>
        <w:gridCol w:w="2653"/>
        <w:gridCol w:w="363"/>
        <w:gridCol w:w="3964"/>
        <w:gridCol w:w="3966"/>
      </w:tblGrid>
      <w:tr>
        <w:trPr/>
        <w:tc>
          <w:tcPr>
            <w:tcW w:w="3342" w:type="dxa"/>
            <w:tcBorders/>
            <w:shd w:color="auto" w:fill="auto" w:val="clear"/>
          </w:tcPr>
          <w:p>
            <w:pPr>
              <w:pStyle w:val="NoSpacing"/>
              <w:rPr>
                <w:rFonts w:ascii="Arial" w:hAnsi="Arial" w:cs="Arial"/>
                <w:sz w:val="20"/>
                <w:szCs w:val="20"/>
              </w:rPr>
            </w:pPr>
            <w:r>
              <w:rPr>
                <w:rFonts w:cs="Arial" w:ascii="Arial" w:hAnsi="Arial"/>
                <w:sz w:val="20"/>
                <w:szCs w:val="20"/>
              </w:rPr>
              <w:t>Les monopoles naturels s’expliquent par…</w:t>
            </w:r>
          </w:p>
          <w:p>
            <w:pPr>
              <w:pStyle w:val="NoSpacing"/>
              <w:rPr>
                <w:rFonts w:ascii="Arial" w:hAnsi="Arial" w:cs="Arial"/>
                <w:sz w:val="20"/>
                <w:szCs w:val="20"/>
              </w:rPr>
            </w:pPr>
            <w:r>
              <w:rPr>
                <w:rFonts w:cs="Arial" w:ascii="Arial" w:hAnsi="Arial"/>
                <w:sz w:val="20"/>
                <w:szCs w:val="20"/>
              </w:rPr>
            </w:r>
          </w:p>
        </w:tc>
        <w:tc>
          <w:tcPr>
            <w:tcW w:w="359" w:type="dxa"/>
            <w:tcBorders/>
            <w:shd w:color="auto" w:fill="auto" w:val="clear"/>
          </w:tcPr>
          <w:p>
            <w:pPr>
              <w:pStyle w:val="NoSpacing"/>
              <w:rPr>
                <w:rFonts w:ascii="Arial" w:hAnsi="Arial" w:cs="Arial"/>
                <w:sz w:val="20"/>
                <w:szCs w:val="20"/>
              </w:rPr>
            </w:pPr>
            <w:r>
              <w:rPr>
                <w:rFonts w:cs="Arial" w:ascii="Arial" w:hAnsi="Arial"/>
                <w:sz w:val="20"/>
                <w:szCs w:val="20"/>
              </w:rPr>
              <w:t>●</w:t>
            </w:r>
          </w:p>
        </w:tc>
        <w:tc>
          <w:tcPr>
            <w:tcW w:w="2653" w:type="dxa"/>
            <w:tcBorders/>
            <w:shd w:color="auto" w:fill="auto" w:val="clear"/>
          </w:tcPr>
          <w:p>
            <w:pPr>
              <w:pStyle w:val="NoSpacing"/>
              <w:rPr>
                <w:rFonts w:ascii="Arial" w:hAnsi="Arial" w:cs="Arial"/>
                <w:sz w:val="20"/>
                <w:szCs w:val="20"/>
              </w:rPr>
            </w:pPr>
            <w:r>
              <w:rPr>
                <w:rFonts w:cs="Arial" w:ascii="Arial" w:hAnsi="Arial"/>
                <w:sz w:val="20"/>
                <w:szCs w:val="20"/>
              </w:rPr>
            </w:r>
          </w:p>
        </w:tc>
        <w:tc>
          <w:tcPr>
            <w:tcW w:w="363" w:type="dxa"/>
            <w:tcBorders/>
            <w:shd w:color="auto" w:fill="auto" w:val="clear"/>
          </w:tcPr>
          <w:p>
            <w:pPr>
              <w:pStyle w:val="NoSpacing"/>
              <w:rPr>
                <w:rFonts w:ascii="Arial" w:hAnsi="Arial" w:cs="Arial"/>
                <w:sz w:val="20"/>
                <w:szCs w:val="20"/>
              </w:rPr>
            </w:pPr>
            <w:r>
              <w:rPr>
                <w:rFonts w:cs="Arial" w:ascii="Arial" w:hAnsi="Arial"/>
                <w:sz w:val="20"/>
                <w:szCs w:val="20"/>
              </w:rPr>
              <w:t>●</w:t>
            </w:r>
          </w:p>
        </w:tc>
        <w:tc>
          <w:tcPr>
            <w:tcW w:w="3964" w:type="dxa"/>
            <w:tcBorders/>
            <w:shd w:color="auto" w:fill="auto" w:val="clear"/>
          </w:tcPr>
          <w:p>
            <w:pPr>
              <w:pStyle w:val="NoSpacing"/>
              <w:rPr>
                <w:rFonts w:ascii="Arial" w:hAnsi="Arial" w:cs="Arial"/>
                <w:sz w:val="20"/>
                <w:szCs w:val="20"/>
              </w:rPr>
            </w:pPr>
            <w:r>
              <w:rPr>
                <w:rFonts w:cs="Arial" w:ascii="Arial" w:hAnsi="Arial"/>
                <w:sz w:val="20"/>
                <w:szCs w:val="20"/>
              </w:rPr>
              <w:t>…</w:t>
            </w:r>
            <w:r>
              <w:rPr>
                <w:rFonts w:cs="Arial" w:ascii="Arial" w:hAnsi="Arial"/>
                <w:sz w:val="20"/>
                <w:szCs w:val="20"/>
              </w:rPr>
              <w:t>L’exclusivité du droit d’exploitation d’une ressource</w:t>
            </w:r>
          </w:p>
        </w:tc>
        <w:tc>
          <w:tcPr>
            <w:tcW w:w="3966" w:type="dxa"/>
            <w:tcBorders/>
            <w:shd w:color="auto" w:fill="auto" w:val="clear"/>
          </w:tcPr>
          <w:p>
            <w:pPr>
              <w:pStyle w:val="Normal"/>
              <w:spacing w:before="0" w:after="0"/>
              <w:rPr>
                <w:rFonts w:ascii="Arial" w:hAnsi="Arial" w:cs="Arial"/>
                <w:szCs w:val="20"/>
              </w:rPr>
            </w:pPr>
            <w:r>
              <w:rPr>
                <w:rFonts w:cs="Arial" w:ascii="Arial" w:hAnsi="Arial"/>
                <w:szCs w:val="20"/>
              </w:rPr>
            </w:r>
          </w:p>
        </w:tc>
      </w:tr>
      <w:tr>
        <w:trPr/>
        <w:tc>
          <w:tcPr>
            <w:tcW w:w="3342" w:type="dxa"/>
            <w:tcBorders/>
            <w:shd w:color="auto" w:fill="auto" w:val="clear"/>
          </w:tcPr>
          <w:p>
            <w:pPr>
              <w:pStyle w:val="NoSpacing"/>
              <w:rPr>
                <w:rFonts w:ascii="Arial" w:hAnsi="Arial" w:cs="Arial"/>
                <w:sz w:val="20"/>
                <w:szCs w:val="20"/>
              </w:rPr>
            </w:pPr>
            <w:r>
              <w:rPr>
                <w:rFonts w:cs="Arial" w:ascii="Arial" w:hAnsi="Arial"/>
                <w:sz w:val="20"/>
                <w:szCs w:val="20"/>
              </w:rPr>
              <w:t>Les monopoles institutionnels (légaux) s’expliquent par…</w:t>
            </w:r>
          </w:p>
          <w:p>
            <w:pPr>
              <w:pStyle w:val="NoSpacing"/>
              <w:rPr>
                <w:rFonts w:ascii="Arial" w:hAnsi="Arial" w:cs="Arial"/>
                <w:sz w:val="20"/>
                <w:szCs w:val="20"/>
              </w:rPr>
            </w:pPr>
            <w:r>
              <w:rPr>
                <w:rFonts w:cs="Arial" w:ascii="Arial" w:hAnsi="Arial"/>
                <w:sz w:val="20"/>
                <w:szCs w:val="20"/>
              </w:rPr>
            </w:r>
          </w:p>
        </w:tc>
        <w:tc>
          <w:tcPr>
            <w:tcW w:w="359" w:type="dxa"/>
            <w:tcBorders/>
            <w:shd w:color="auto" w:fill="auto" w:val="clear"/>
          </w:tcPr>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t>●</w:t>
            </w:r>
          </w:p>
        </w:tc>
        <w:tc>
          <w:tcPr>
            <w:tcW w:w="2653" w:type="dxa"/>
            <w:tcBorders/>
            <w:shd w:color="auto" w:fill="auto" w:val="clear"/>
          </w:tcPr>
          <w:p>
            <w:pPr>
              <w:pStyle w:val="NoSpacing"/>
              <w:rPr>
                <w:rFonts w:ascii="Arial" w:hAnsi="Arial" w:cs="Arial"/>
                <w:sz w:val="20"/>
                <w:szCs w:val="20"/>
              </w:rPr>
            </w:pPr>
            <w:r>
              <w:rPr>
                <w:rFonts w:cs="Arial" w:ascii="Arial" w:hAnsi="Arial"/>
                <w:sz w:val="20"/>
                <w:szCs w:val="20"/>
              </w:rPr>
            </w:r>
          </w:p>
        </w:tc>
        <w:tc>
          <w:tcPr>
            <w:tcW w:w="363" w:type="dxa"/>
            <w:tcBorders/>
            <w:shd w:color="auto" w:fill="auto" w:val="clear"/>
          </w:tcPr>
          <w:p>
            <w:pPr>
              <w:pStyle w:val="NoSpacing"/>
              <w:rPr>
                <w:rFonts w:ascii="Arial" w:hAnsi="Arial" w:cs="Arial"/>
                <w:sz w:val="20"/>
                <w:szCs w:val="20"/>
              </w:rPr>
            </w:pPr>
            <w:r>
              <w:rPr>
                <w:rFonts w:cs="Arial" w:ascii="Arial" w:hAnsi="Arial"/>
                <w:sz w:val="20"/>
                <w:szCs w:val="20"/>
              </w:rPr>
              <w:t>●</w:t>
            </w:r>
          </w:p>
        </w:tc>
        <w:tc>
          <w:tcPr>
            <w:tcW w:w="3964" w:type="dxa"/>
            <w:tcBorders/>
            <w:shd w:color="auto" w:fill="auto" w:val="clear"/>
          </w:tcPr>
          <w:p>
            <w:pPr>
              <w:pStyle w:val="NoSpacing"/>
              <w:rPr>
                <w:rFonts w:ascii="Arial" w:hAnsi="Arial" w:cs="Arial"/>
                <w:sz w:val="20"/>
                <w:szCs w:val="20"/>
              </w:rPr>
            </w:pPr>
            <w:r>
              <w:rPr>
                <w:rFonts w:cs="Arial" w:ascii="Arial" w:hAnsi="Arial"/>
                <w:sz w:val="20"/>
                <w:szCs w:val="20"/>
              </w:rPr>
              <w:t>…</w:t>
            </w:r>
            <w:r>
              <w:rPr>
                <w:rFonts w:cs="Arial" w:ascii="Arial" w:hAnsi="Arial"/>
                <w:sz w:val="20"/>
                <w:szCs w:val="20"/>
              </w:rPr>
              <w:t>.les stratégies d’innovations des entreprises</w:t>
            </w:r>
          </w:p>
        </w:tc>
        <w:tc>
          <w:tcPr>
            <w:tcW w:w="3966" w:type="dxa"/>
            <w:tcBorders/>
            <w:shd w:color="auto" w:fill="auto" w:val="clear"/>
          </w:tcPr>
          <w:p>
            <w:pPr>
              <w:pStyle w:val="Normal"/>
              <w:spacing w:before="0" w:after="0"/>
              <w:rPr>
                <w:rFonts w:ascii="Arial" w:hAnsi="Arial" w:cs="Arial"/>
                <w:szCs w:val="20"/>
              </w:rPr>
            </w:pPr>
            <w:r>
              <w:rPr>
                <w:rFonts w:cs="Arial" w:ascii="Arial" w:hAnsi="Arial"/>
                <w:szCs w:val="20"/>
              </w:rPr>
            </w:r>
          </w:p>
        </w:tc>
      </w:tr>
      <w:tr>
        <w:trPr/>
        <w:tc>
          <w:tcPr>
            <w:tcW w:w="3342" w:type="dxa"/>
            <w:tcBorders/>
            <w:shd w:color="auto" w:fill="auto" w:val="clear"/>
          </w:tcPr>
          <w:p>
            <w:pPr>
              <w:pStyle w:val="NoSpacing"/>
              <w:rPr>
                <w:rFonts w:ascii="Arial" w:hAnsi="Arial" w:cs="Arial"/>
                <w:sz w:val="20"/>
                <w:szCs w:val="20"/>
              </w:rPr>
            </w:pPr>
            <w:r>
              <w:rPr>
                <w:rFonts w:cs="Arial" w:ascii="Arial" w:hAnsi="Arial"/>
                <w:sz w:val="20"/>
                <w:szCs w:val="20"/>
              </w:rPr>
              <w:t>Les monopoles stratégiques (d’innovation) s’expliquent par…</w:t>
            </w:r>
          </w:p>
          <w:p>
            <w:pPr>
              <w:pStyle w:val="NoSpacing"/>
              <w:rPr>
                <w:rFonts w:ascii="Arial" w:hAnsi="Arial" w:cs="Arial"/>
                <w:sz w:val="20"/>
                <w:szCs w:val="20"/>
              </w:rPr>
            </w:pPr>
            <w:r>
              <w:rPr>
                <w:rFonts w:cs="Arial" w:ascii="Arial" w:hAnsi="Arial"/>
                <w:sz w:val="20"/>
                <w:szCs w:val="20"/>
              </w:rPr>
            </w:r>
          </w:p>
        </w:tc>
        <w:tc>
          <w:tcPr>
            <w:tcW w:w="359" w:type="dxa"/>
            <w:tcBorders/>
            <w:shd w:color="auto" w:fill="auto" w:val="clear"/>
          </w:tcPr>
          <w:p>
            <w:pPr>
              <w:pStyle w:val="NoSpacing"/>
              <w:rPr>
                <w:rFonts w:ascii="Arial" w:hAnsi="Arial" w:cs="Arial"/>
                <w:sz w:val="20"/>
                <w:szCs w:val="20"/>
              </w:rPr>
            </w:pPr>
            <w:r>
              <w:rPr>
                <w:rFonts w:cs="Arial" w:ascii="Arial" w:hAnsi="Arial"/>
                <w:sz w:val="20"/>
                <w:szCs w:val="20"/>
              </w:rPr>
              <w:t>●</w:t>
            </w:r>
          </w:p>
        </w:tc>
        <w:tc>
          <w:tcPr>
            <w:tcW w:w="2653" w:type="dxa"/>
            <w:tcBorders/>
            <w:shd w:color="auto" w:fill="auto" w:val="clear"/>
          </w:tcPr>
          <w:p>
            <w:pPr>
              <w:pStyle w:val="NoSpacing"/>
              <w:rPr>
                <w:rFonts w:ascii="Arial" w:hAnsi="Arial" w:cs="Arial"/>
                <w:sz w:val="20"/>
                <w:szCs w:val="20"/>
              </w:rPr>
            </w:pPr>
            <w:r>
              <w:rPr>
                <w:rFonts w:cs="Arial" w:ascii="Arial" w:hAnsi="Arial"/>
                <w:sz w:val="20"/>
                <w:szCs w:val="20"/>
              </w:rPr>
            </w:r>
          </w:p>
        </w:tc>
        <w:tc>
          <w:tcPr>
            <w:tcW w:w="363" w:type="dxa"/>
            <w:tcBorders/>
            <w:shd w:color="auto" w:fill="auto" w:val="clear"/>
          </w:tcPr>
          <w:p>
            <w:pPr>
              <w:pStyle w:val="NoSpacing"/>
              <w:rPr>
                <w:rFonts w:ascii="Arial" w:hAnsi="Arial" w:cs="Arial"/>
                <w:sz w:val="20"/>
                <w:szCs w:val="20"/>
              </w:rPr>
            </w:pPr>
            <w:r>
              <w:rPr>
                <w:rFonts w:cs="Arial" w:ascii="Arial" w:hAnsi="Arial"/>
                <w:sz w:val="20"/>
                <w:szCs w:val="20"/>
              </w:rPr>
              <w:t>●</w:t>
            </w:r>
          </w:p>
        </w:tc>
        <w:tc>
          <w:tcPr>
            <w:tcW w:w="3964" w:type="dxa"/>
            <w:tcBorders/>
            <w:shd w:color="auto" w:fill="auto" w:val="clear"/>
          </w:tcPr>
          <w:p>
            <w:pPr>
              <w:pStyle w:val="NoSpacing"/>
              <w:rPr>
                <w:rFonts w:ascii="Arial" w:hAnsi="Arial" w:cs="Arial"/>
                <w:sz w:val="20"/>
                <w:szCs w:val="20"/>
              </w:rPr>
            </w:pPr>
            <w:r>
              <w:rPr>
                <w:rFonts w:cs="Arial" w:ascii="Arial" w:hAnsi="Arial"/>
                <w:sz w:val="20"/>
                <w:szCs w:val="20"/>
              </w:rPr>
              <w:t>…</w:t>
            </w:r>
            <w:r>
              <w:rPr>
                <w:rFonts w:cs="Arial" w:ascii="Arial" w:hAnsi="Arial"/>
                <w:sz w:val="20"/>
                <w:szCs w:val="20"/>
              </w:rPr>
              <w:t>.l’intervention des pouvoirs publics</w:t>
            </w:r>
          </w:p>
        </w:tc>
        <w:tc>
          <w:tcPr>
            <w:tcW w:w="3966" w:type="dxa"/>
            <w:tcBorders/>
            <w:shd w:color="auto" w:fill="auto" w:val="clear"/>
          </w:tcPr>
          <w:p>
            <w:pPr>
              <w:pStyle w:val="NoSpacing"/>
              <w:rPr>
                <w:rFonts w:ascii="Arial" w:hAnsi="Arial" w:cs="Arial"/>
                <w:sz w:val="20"/>
                <w:szCs w:val="20"/>
              </w:rPr>
            </w:pPr>
            <w:r>
              <w:rPr>
                <w:rFonts w:cs="Arial" w:ascii="Arial" w:hAnsi="Arial"/>
                <w:sz w:val="20"/>
                <w:szCs w:val="20"/>
              </w:rPr>
            </w:r>
          </w:p>
        </w:tc>
      </w:tr>
      <w:tr>
        <w:trPr/>
        <w:tc>
          <w:tcPr>
            <w:tcW w:w="3342" w:type="dxa"/>
            <w:tcBorders/>
            <w:shd w:color="auto" w:fill="auto" w:val="clear"/>
          </w:tcPr>
          <w:p>
            <w:pPr>
              <w:pStyle w:val="NoSpacing"/>
              <w:rPr>
                <w:rFonts w:ascii="Arial" w:hAnsi="Arial" w:cs="Arial"/>
                <w:sz w:val="20"/>
                <w:szCs w:val="20"/>
              </w:rPr>
            </w:pPr>
            <w:r>
              <w:rPr>
                <w:rFonts w:cs="Arial" w:ascii="Arial" w:hAnsi="Arial"/>
                <w:sz w:val="20"/>
                <w:szCs w:val="20"/>
              </w:rPr>
              <w:t>Les monopoles de ressources s’expliquent par…</w:t>
            </w:r>
          </w:p>
          <w:p>
            <w:pPr>
              <w:pStyle w:val="NoSpacing"/>
              <w:rPr>
                <w:rFonts w:ascii="Arial" w:hAnsi="Arial" w:cs="Arial"/>
                <w:sz w:val="20"/>
                <w:szCs w:val="20"/>
              </w:rPr>
            </w:pPr>
            <w:r>
              <w:rPr>
                <w:rFonts w:cs="Arial" w:ascii="Arial" w:hAnsi="Arial"/>
                <w:sz w:val="20"/>
                <w:szCs w:val="20"/>
              </w:rPr>
            </w:r>
          </w:p>
        </w:tc>
        <w:tc>
          <w:tcPr>
            <w:tcW w:w="359" w:type="dxa"/>
            <w:tcBorders/>
            <w:shd w:color="auto" w:fill="auto" w:val="clear"/>
          </w:tcPr>
          <w:p>
            <w:pPr>
              <w:pStyle w:val="NoSpacing"/>
              <w:rPr>
                <w:rFonts w:ascii="Arial" w:hAnsi="Arial" w:cs="Arial"/>
                <w:sz w:val="20"/>
                <w:szCs w:val="20"/>
              </w:rPr>
            </w:pPr>
            <w:r>
              <w:rPr>
                <w:rFonts w:cs="Arial" w:ascii="Arial" w:hAnsi="Arial"/>
                <w:sz w:val="20"/>
                <w:szCs w:val="20"/>
              </w:rPr>
              <w:t>●</w:t>
            </w:r>
          </w:p>
        </w:tc>
        <w:tc>
          <w:tcPr>
            <w:tcW w:w="2653" w:type="dxa"/>
            <w:tcBorders/>
            <w:shd w:color="auto" w:fill="auto" w:val="clear"/>
          </w:tcPr>
          <w:p>
            <w:pPr>
              <w:pStyle w:val="NoSpacing"/>
              <w:rPr>
                <w:rFonts w:ascii="Arial" w:hAnsi="Arial" w:cs="Arial"/>
                <w:sz w:val="20"/>
                <w:szCs w:val="20"/>
              </w:rPr>
            </w:pPr>
            <w:r>
              <w:rPr>
                <w:rFonts w:cs="Arial" w:ascii="Arial" w:hAnsi="Arial"/>
                <w:sz w:val="20"/>
                <w:szCs w:val="20"/>
              </w:rPr>
            </w:r>
          </w:p>
        </w:tc>
        <w:tc>
          <w:tcPr>
            <w:tcW w:w="363" w:type="dxa"/>
            <w:tcBorders/>
            <w:shd w:color="auto" w:fill="auto" w:val="clear"/>
          </w:tcPr>
          <w:p>
            <w:pPr>
              <w:pStyle w:val="NoSpacing"/>
              <w:rPr>
                <w:rFonts w:ascii="Arial" w:hAnsi="Arial" w:cs="Arial"/>
                <w:sz w:val="20"/>
                <w:szCs w:val="20"/>
              </w:rPr>
            </w:pPr>
            <w:r>
              <w:rPr>
                <w:rFonts w:cs="Arial" w:ascii="Arial" w:hAnsi="Arial"/>
                <w:sz w:val="20"/>
                <w:szCs w:val="20"/>
              </w:rPr>
              <w:t>●</w:t>
            </w:r>
          </w:p>
        </w:tc>
        <w:tc>
          <w:tcPr>
            <w:tcW w:w="3964" w:type="dxa"/>
            <w:tcBorders/>
            <w:shd w:color="auto" w:fill="auto" w:val="clear"/>
          </w:tcPr>
          <w:p>
            <w:pPr>
              <w:pStyle w:val="NoSpacing"/>
              <w:rPr>
                <w:rFonts w:ascii="Arial" w:hAnsi="Arial" w:cs="Arial"/>
                <w:sz w:val="20"/>
                <w:szCs w:val="20"/>
              </w:rPr>
            </w:pPr>
            <w:r>
              <w:rPr>
                <w:rFonts w:cs="Arial" w:ascii="Arial" w:hAnsi="Arial"/>
                <w:sz w:val="20"/>
                <w:szCs w:val="20"/>
              </w:rPr>
              <w:t>…</w:t>
            </w:r>
            <w:r>
              <w:rPr>
                <w:rFonts w:cs="Arial" w:ascii="Arial" w:hAnsi="Arial"/>
                <w:sz w:val="20"/>
                <w:szCs w:val="20"/>
              </w:rPr>
              <w:t>.l’existence de coûts fixes élevés.</w:t>
            </w:r>
          </w:p>
          <w:p>
            <w:pPr>
              <w:pStyle w:val="NoSpacing"/>
              <w:rPr>
                <w:rFonts w:ascii="Arial" w:hAnsi="Arial" w:cs="Arial"/>
                <w:sz w:val="20"/>
                <w:szCs w:val="20"/>
              </w:rPr>
            </w:pPr>
            <w:r>
              <w:rPr>
                <w:rFonts w:cs="Arial" w:ascii="Arial" w:hAnsi="Arial"/>
                <w:sz w:val="20"/>
                <w:szCs w:val="20"/>
              </w:rPr>
            </w:r>
          </w:p>
        </w:tc>
        <w:tc>
          <w:tcPr>
            <w:tcW w:w="3966" w:type="dxa"/>
            <w:tcBorders/>
            <w:shd w:color="auto" w:fill="auto" w:val="clear"/>
          </w:tcPr>
          <w:p>
            <w:pPr>
              <w:pStyle w:val="Normal"/>
              <w:spacing w:before="0" w:after="0"/>
              <w:rPr>
                <w:rFonts w:ascii="Arial" w:hAnsi="Arial" w:cs="Arial"/>
                <w:szCs w:val="20"/>
              </w:rPr>
            </w:pPr>
            <w:r>
              <w:rPr>
                <w:rFonts w:cs="Arial" w:ascii="Arial" w:hAnsi="Arial"/>
                <w:szCs w:val="20"/>
              </w:rPr>
            </w:r>
          </w:p>
        </w:tc>
      </w:tr>
      <w:tr>
        <w:trPr/>
        <w:tc>
          <w:tcPr>
            <w:tcW w:w="3342" w:type="dxa"/>
            <w:tcBorders/>
            <w:shd w:color="auto" w:fill="auto" w:val="clear"/>
          </w:tcPr>
          <w:p>
            <w:pPr>
              <w:pStyle w:val="NoSpacing"/>
              <w:rPr>
                <w:rFonts w:ascii="Arial" w:hAnsi="Arial" w:cs="Arial"/>
                <w:sz w:val="20"/>
                <w:szCs w:val="20"/>
              </w:rPr>
            </w:pPr>
            <w:r>
              <w:rPr>
                <w:rFonts w:cs="Arial" w:ascii="Arial" w:hAnsi="Arial"/>
                <w:sz w:val="20"/>
                <w:szCs w:val="20"/>
              </w:rPr>
            </w:r>
          </w:p>
        </w:tc>
        <w:tc>
          <w:tcPr>
            <w:tcW w:w="359" w:type="dxa"/>
            <w:tcBorders/>
            <w:shd w:color="auto" w:fill="auto" w:val="clear"/>
          </w:tcPr>
          <w:p>
            <w:pPr>
              <w:pStyle w:val="NoSpacing"/>
              <w:rPr>
                <w:rFonts w:ascii="Arial" w:hAnsi="Arial" w:cs="Arial"/>
                <w:sz w:val="20"/>
                <w:szCs w:val="20"/>
              </w:rPr>
            </w:pPr>
            <w:r>
              <w:rPr>
                <w:rFonts w:cs="Arial" w:ascii="Arial" w:hAnsi="Arial"/>
                <w:sz w:val="20"/>
                <w:szCs w:val="20"/>
              </w:rPr>
            </w:r>
          </w:p>
        </w:tc>
        <w:tc>
          <w:tcPr>
            <w:tcW w:w="2653" w:type="dxa"/>
            <w:tcBorders/>
            <w:shd w:color="auto" w:fill="auto" w:val="clear"/>
          </w:tcPr>
          <w:p>
            <w:pPr>
              <w:pStyle w:val="NoSpacing"/>
              <w:rPr>
                <w:rFonts w:ascii="Arial" w:hAnsi="Arial" w:cs="Arial"/>
                <w:sz w:val="20"/>
                <w:szCs w:val="20"/>
              </w:rPr>
            </w:pPr>
            <w:r>
              <w:rPr>
                <w:rFonts w:cs="Arial" w:ascii="Arial" w:hAnsi="Arial"/>
                <w:sz w:val="20"/>
                <w:szCs w:val="20"/>
              </w:rPr>
            </w:r>
          </w:p>
        </w:tc>
        <w:tc>
          <w:tcPr>
            <w:tcW w:w="363" w:type="dxa"/>
            <w:tcBorders/>
            <w:shd w:color="auto" w:fill="auto" w:val="clear"/>
          </w:tcPr>
          <w:p>
            <w:pPr>
              <w:pStyle w:val="NoSpacing"/>
              <w:rPr>
                <w:rFonts w:ascii="Arial" w:hAnsi="Arial" w:cs="Arial"/>
                <w:sz w:val="20"/>
                <w:szCs w:val="20"/>
              </w:rPr>
            </w:pPr>
            <w:r>
              <w:rPr>
                <w:rFonts w:cs="Arial" w:ascii="Arial" w:hAnsi="Arial"/>
                <w:sz w:val="20"/>
                <w:szCs w:val="20"/>
              </w:rPr>
            </w:r>
          </w:p>
        </w:tc>
        <w:tc>
          <w:tcPr>
            <w:tcW w:w="3964" w:type="dxa"/>
            <w:tcBorders/>
            <w:shd w:color="auto" w:fill="auto" w:val="clear"/>
          </w:tcPr>
          <w:p>
            <w:pPr>
              <w:pStyle w:val="NoSpacing"/>
              <w:rPr>
                <w:rFonts w:ascii="Arial" w:hAnsi="Arial" w:cs="Arial"/>
                <w:sz w:val="20"/>
                <w:szCs w:val="20"/>
              </w:rPr>
            </w:pPr>
            <w:r>
              <w:rPr>
                <w:rFonts w:cs="Arial" w:ascii="Arial" w:hAnsi="Arial"/>
                <w:sz w:val="20"/>
                <w:szCs w:val="20"/>
              </w:rPr>
            </w:r>
          </w:p>
        </w:tc>
        <w:tc>
          <w:tcPr>
            <w:tcW w:w="3966" w:type="dxa"/>
            <w:tcBorders/>
            <w:shd w:color="auto" w:fill="auto" w:val="clear"/>
          </w:tcPr>
          <w:p>
            <w:pPr>
              <w:pStyle w:val="Normal"/>
              <w:spacing w:before="0" w:after="0"/>
              <w:rPr>
                <w:rFonts w:ascii="Arial" w:hAnsi="Arial" w:cs="Arial"/>
                <w:szCs w:val="20"/>
              </w:rPr>
            </w:pPr>
            <w:r>
              <w:rPr>
                <w:rFonts w:cs="Arial" w:ascii="Arial" w:hAnsi="Arial"/>
                <w:szCs w:val="20"/>
              </w:rPr>
            </w:r>
          </w:p>
        </w:tc>
      </w:tr>
    </w:tbl>
    <w:p>
      <w:pPr>
        <w:pStyle w:val="ListParagraph"/>
        <w:numPr>
          <w:ilvl w:val="0"/>
          <w:numId w:val="1"/>
        </w:numPr>
        <w:spacing w:lineRule="atLeast" w:line="336" w:before="0" w:after="0"/>
        <w:contextualSpacing/>
        <w:rPr>
          <w:rFonts w:ascii="Calibri" w:hAnsi="Calibri" w:eastAsia="Times New Roman" w:cs="Calibri" w:asciiTheme="minorHAnsi" w:cstheme="minorHAnsi" w:hAnsiTheme="minorHAnsi"/>
          <w:color w:val="000000"/>
          <w:sz w:val="22"/>
          <w:szCs w:val="24"/>
          <w:lang w:eastAsia="fr-FR"/>
        </w:rPr>
      </w:pPr>
      <w:r>
        <w:rPr>
          <w:rFonts w:eastAsia="Times New Roman" w:cs="Calibri" w:ascii="Calibri" w:hAnsi="Calibri" w:asciiTheme="minorHAnsi" w:cstheme="minorHAnsi" w:hAnsiTheme="minorHAnsi"/>
          <w:b/>
          <w:bCs/>
          <w:color w:val="000000"/>
          <w:sz w:val="22"/>
          <w:szCs w:val="24"/>
          <w:lang w:eastAsia="fr-FR"/>
        </w:rPr>
        <w:t>Identifiez à quelle (s) catégorie (s) de monopole appartiennent les cas cités ci-dessous.</w:t>
      </w:r>
    </w:p>
    <w:p>
      <w:pPr>
        <w:pStyle w:val="Normal"/>
        <w:spacing w:lineRule="atLeast" w:line="336" w:before="0" w:after="0"/>
        <w:ind w:left="720"/>
        <w:rPr>
          <w:rFonts w:ascii="Calibri" w:hAnsi="Calibri" w:eastAsia="Times New Roman" w:cs="Calibri" w:asciiTheme="minorHAnsi" w:cstheme="minorHAnsi" w:hAnsiTheme="minorHAnsi"/>
          <w:color w:val="000000"/>
          <w:sz w:val="22"/>
          <w:szCs w:val="24"/>
          <w:lang w:eastAsia="fr-FR"/>
        </w:rPr>
      </w:pPr>
      <w:r>
        <w:rPr>
          <w:rFonts w:eastAsia="Times New Roman" w:cs="Calibri" w:cstheme="minorHAnsi"/>
          <w:color w:val="000000"/>
          <w:sz w:val="22"/>
          <w:szCs w:val="24"/>
          <w:lang w:eastAsia="fr-FR"/>
        </w:rPr>
        <w:t>a) En octobre 2010, Google annonce avoir conçu un système de pilotage automatique pour automobile aidé de radars, caméras vidéo et GPS, déjà installé sur sept véhicules — six Toyota Prius, une Audi TT — qui ont parcouru plus de 225 000 kilomètres en Californie, sans avoir provoqué d'accident. C’est la naissance du véhicule sans conducteur.</w:t>
      </w:r>
    </w:p>
    <w:p>
      <w:pPr>
        <w:pStyle w:val="Normal"/>
        <w:spacing w:lineRule="atLeast" w:line="336" w:before="0" w:after="0"/>
        <w:ind w:left="720"/>
        <w:rPr>
          <w:rFonts w:ascii="Calibri" w:hAnsi="Calibri" w:eastAsia="Times New Roman" w:cs="Calibri" w:asciiTheme="minorHAnsi" w:cstheme="minorHAnsi" w:hAnsiTheme="minorHAnsi"/>
          <w:color w:val="000000"/>
          <w:sz w:val="22"/>
          <w:szCs w:val="24"/>
          <w:lang w:eastAsia="fr-FR"/>
        </w:rPr>
      </w:pPr>
      <w:r>
        <w:rPr>
          <w:rFonts w:eastAsia="Times New Roman" w:cs="Calibri" w:cstheme="minorHAnsi"/>
          <w:color w:val="000000"/>
          <w:sz w:val="22"/>
          <w:szCs w:val="24"/>
          <w:lang w:eastAsia="fr-FR"/>
        </w:rPr>
        <w:t>b) En Suède, la vente de boissons alcoolisées est un monopole d’Etat connu sous le nom de Systembolaget, parce que l’Etat estime qu’il est dans l’intérêt de la santé publique de contrôler directement la vente d’alcool.</w:t>
      </w:r>
    </w:p>
    <w:p>
      <w:pPr>
        <w:pStyle w:val="Normal"/>
        <w:spacing w:lineRule="atLeast" w:line="336" w:before="0" w:after="0"/>
        <w:ind w:left="720"/>
        <w:rPr>
          <w:rFonts w:ascii="Calibri" w:hAnsi="Calibri" w:eastAsia="Times New Roman" w:cs="Calibri" w:asciiTheme="minorHAnsi" w:cstheme="minorHAnsi" w:hAnsiTheme="minorHAnsi"/>
          <w:color w:val="000000"/>
          <w:sz w:val="22"/>
          <w:szCs w:val="24"/>
          <w:lang w:eastAsia="fr-FR"/>
        </w:rPr>
      </w:pPr>
      <w:r>
        <w:rPr>
          <w:rFonts w:eastAsia="Times New Roman" w:cs="Calibri" w:cstheme="minorHAnsi"/>
          <w:color w:val="000000"/>
          <w:sz w:val="22"/>
          <w:szCs w:val="24"/>
          <w:lang w:eastAsia="fr-FR"/>
        </w:rPr>
        <w:t>c) Microsoft Corporation produit son propre système d’exploitation, Windows, qui représente environ 82% du marché. Lorsque la firme Microsoft a conçu Windows, il y a quelques années, elle a déposé des droits d’auteur tout d’abord auprès du gouvernement américain, puis auprès de nombreux gouvernements dans le monde. Ces droits exclusifs permettent à Microsoft d’éditer et de vendre des copies de Windows.</w:t>
      </w:r>
    </w:p>
    <w:p>
      <w:pPr>
        <w:pStyle w:val="Normal"/>
        <w:spacing w:lineRule="atLeast" w:line="336" w:before="0" w:after="0"/>
        <w:ind w:left="720"/>
        <w:rPr>
          <w:rFonts w:ascii="Calibri" w:hAnsi="Calibri" w:eastAsia="Times New Roman" w:cs="Calibri" w:asciiTheme="minorHAnsi" w:cstheme="minorHAnsi" w:hAnsiTheme="minorHAnsi"/>
          <w:color w:val="000000"/>
          <w:sz w:val="22"/>
          <w:szCs w:val="24"/>
          <w:lang w:eastAsia="fr-FR"/>
        </w:rPr>
      </w:pPr>
      <w:r>
        <w:rPr>
          <w:rFonts w:eastAsia="Times New Roman" w:cs="Calibri" w:cstheme="minorHAnsi"/>
          <w:color w:val="000000"/>
          <w:sz w:val="22"/>
          <w:szCs w:val="24"/>
          <w:lang w:eastAsia="fr-FR"/>
        </w:rPr>
        <w:t>c) Les branches d'activité telles que les transports (en particulier ferroviaires, mais aussi aériens et les grosses infrastructures routières comme les autoroutes, les ports...), les services postaux et les télécommunications ; le secteur énergétique de réseau (électricité, pétrole, gaz naturel) ; la distribution d'eau et les systèmes d'assainissement sont souvent des activités à tendance monopolistiques du fait de l’investissement initial colossal pour fournir le service aux premiers clients ; mais une fois l'investissement réalisé, la fourniture du service à un client supplémentaire ne coûte plus grand chose (le coût marginal est faible).</w:t>
      </w:r>
    </w:p>
    <w:p>
      <w:pPr>
        <w:pStyle w:val="NoSpacing"/>
        <w:rPr>
          <w:rFonts w:ascii="Arial" w:hAnsi="Arial" w:cs="Arial"/>
          <w:b/>
          <w:sz w:val="20"/>
          <w:szCs w:val="20"/>
        </w:rPr>
      </w:pPr>
      <w:r>
        <w:rPr>
          <w:rFonts w:cs="Arial" w:ascii="Arial" w:hAnsi="Arial"/>
          <w:b/>
          <w:sz w:val="20"/>
          <w:szCs w:val="20"/>
        </w:rPr>
      </w:r>
    </w:p>
    <w:p>
      <w:pPr>
        <w:pStyle w:val="NoSpacing"/>
        <w:rPr>
          <w:rFonts w:ascii="Arial" w:hAnsi="Arial" w:cs="Arial"/>
          <w:sz w:val="20"/>
          <w:szCs w:val="20"/>
        </w:rPr>
      </w:pPr>
      <w:r>
        <w:rPr>
          <w:rFonts w:cs="Arial" w:ascii="Arial" w:hAnsi="Arial"/>
          <w:b/>
          <w:sz w:val="20"/>
          <w:szCs w:val="20"/>
        </w:rPr>
        <w:t>Exercice 2</w:t>
      </w:r>
      <w:r>
        <w:rPr>
          <w:rFonts w:cs="Arial" w:ascii="Arial" w:hAnsi="Arial"/>
          <w:sz w:val="20"/>
          <w:szCs w:val="20"/>
        </w:rPr>
        <w:t xml:space="preserve"> : </w:t>
      </w:r>
      <w:r>
        <w:rPr>
          <w:rFonts w:cs="Arial" w:ascii="Arial" w:hAnsi="Arial"/>
          <w:b/>
          <w:sz w:val="20"/>
          <w:szCs w:val="20"/>
        </w:rPr>
        <w:t>étude de cas sur les monopoles naturels</w:t>
      </w:r>
    </w:p>
    <w:p>
      <w:pPr>
        <w:pStyle w:val="Norma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sz w:val="22"/>
          <w:lang w:eastAsia="fr-FR"/>
        </w:rPr>
        <w:t>Supposons un marché de distribution de l’eau potable d’une ville sur lequel une entreprise distribue l’eau à 100 000 résidents. Pour fournir l’eau aux 100 000 résidents de la ville, une entreprise doit construire un réseau de canalisations qui parcourt toute la ville. Si deux firmes au moins devaient se concurrencer sur la fourniture de ce service, chacune d’entre elles devrait payer le coût fixe de la construction d’un réseau de distribution qui s’élève à 5 000 000 d’euro. Les coûts variables sont liés aux consommations intermédiaires nécessaires à la fourniture d’eau comme la main-d’œuvre nécessaire et les énergies consommées pour entretenir les canalisations etc, ils s’élèvent à 5000€ par client.</w:t>
      </w:r>
    </w:p>
    <w:p>
      <w:pPr>
        <w:pStyle w:val="Norma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sz w:val="22"/>
          <w:lang w:eastAsia="fr-FR"/>
        </w:rPr>
        <w:t>Vous êtes conseiller économique auprès du maire de cette ville. Il vous demande d’étudier la solution la plus optimale économiquement pour la fourniture d’eau dans sa ville. Doit-on favoriser la création d’un monopole ? ou d’un duopole (deux entreprises) ? Pour y répondre, traitez les questions ci-après.</w:t>
      </w:r>
    </w:p>
    <w:p>
      <w:pPr>
        <w:pStyle w:val="Norma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sz w:val="22"/>
          <w:lang w:eastAsia="fr-FR"/>
        </w:rPr>
        <w:t>1. Compléter le tableau suivant :</w:t>
      </w:r>
    </w:p>
    <w:tbl>
      <w:tblPr>
        <w:tblStyle w:val="Grilledutableau"/>
        <w:tblW w:w="10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62"/>
        <w:gridCol w:w="992"/>
        <w:gridCol w:w="1133"/>
        <w:gridCol w:w="1134"/>
        <w:gridCol w:w="1285"/>
      </w:tblGrid>
      <w:tr>
        <w:trPr/>
        <w:tc>
          <w:tcPr>
            <w:tcW w:w="6062"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t>Nombre de client à approvisionner en eau (= quantité produite)</w:t>
            </w:r>
          </w:p>
        </w:tc>
        <w:tc>
          <w:tcPr>
            <w:tcW w:w="992"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t>1</w:t>
            </w:r>
          </w:p>
        </w:tc>
        <w:tc>
          <w:tcPr>
            <w:tcW w:w="1133"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t>5 000</w:t>
            </w:r>
          </w:p>
        </w:tc>
        <w:tc>
          <w:tcPr>
            <w:tcW w:w="1134"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t xml:space="preserve"> </w:t>
            </w:r>
            <w:r>
              <w:rPr>
                <w:rFonts w:eastAsia="Times New Roman" w:cs="Calibri" w:cstheme="minorHAnsi"/>
                <w:color w:val="000000"/>
                <w:kern w:val="0"/>
                <w:sz w:val="22"/>
                <w:lang w:val="fr-FR" w:eastAsia="fr-FR" w:bidi="ar-SA"/>
              </w:rPr>
              <w:t>50 000</w:t>
            </w:r>
          </w:p>
        </w:tc>
        <w:tc>
          <w:tcPr>
            <w:tcW w:w="1285"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t>100 000</w:t>
            </w:r>
          </w:p>
        </w:tc>
      </w:tr>
      <w:tr>
        <w:trPr/>
        <w:tc>
          <w:tcPr>
            <w:tcW w:w="6062"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t>Coût fixe</w:t>
            </w:r>
          </w:p>
        </w:tc>
        <w:tc>
          <w:tcPr>
            <w:tcW w:w="992"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r>
          </w:p>
        </w:tc>
        <w:tc>
          <w:tcPr>
            <w:tcW w:w="1133"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r>
          </w:p>
        </w:tc>
        <w:tc>
          <w:tcPr>
            <w:tcW w:w="1134"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r>
          </w:p>
        </w:tc>
        <w:tc>
          <w:tcPr>
            <w:tcW w:w="1285"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r>
          </w:p>
        </w:tc>
      </w:tr>
      <w:tr>
        <w:trPr/>
        <w:tc>
          <w:tcPr>
            <w:tcW w:w="6062"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t>Coût variable</w:t>
            </w:r>
          </w:p>
        </w:tc>
        <w:tc>
          <w:tcPr>
            <w:tcW w:w="992"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r>
          </w:p>
        </w:tc>
        <w:tc>
          <w:tcPr>
            <w:tcW w:w="1133"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r>
          </w:p>
        </w:tc>
        <w:tc>
          <w:tcPr>
            <w:tcW w:w="1134"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r>
          </w:p>
        </w:tc>
        <w:tc>
          <w:tcPr>
            <w:tcW w:w="1285"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r>
          </w:p>
        </w:tc>
      </w:tr>
      <w:tr>
        <w:trPr/>
        <w:tc>
          <w:tcPr>
            <w:tcW w:w="6062"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t>Coût total</w:t>
            </w:r>
          </w:p>
        </w:tc>
        <w:tc>
          <w:tcPr>
            <w:tcW w:w="992"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r>
          </w:p>
        </w:tc>
        <w:tc>
          <w:tcPr>
            <w:tcW w:w="1133"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r>
          </w:p>
        </w:tc>
        <w:tc>
          <w:tcPr>
            <w:tcW w:w="1134"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r>
          </w:p>
        </w:tc>
        <w:tc>
          <w:tcPr>
            <w:tcW w:w="1285"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r>
          </w:p>
        </w:tc>
      </w:tr>
      <w:tr>
        <w:trPr/>
        <w:tc>
          <w:tcPr>
            <w:tcW w:w="6062"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t>Coût moyen</w:t>
            </w:r>
          </w:p>
        </w:tc>
        <w:tc>
          <w:tcPr>
            <w:tcW w:w="992"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r>
          </w:p>
        </w:tc>
        <w:tc>
          <w:tcPr>
            <w:tcW w:w="1133"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r>
          </w:p>
        </w:tc>
        <w:tc>
          <w:tcPr>
            <w:tcW w:w="1134"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r>
          </w:p>
        </w:tc>
        <w:tc>
          <w:tcPr>
            <w:tcW w:w="1285" w:type="dxa"/>
            <w:tcBorders/>
          </w:tcPr>
          <w:p>
            <w:pPr>
              <w:pStyle w:val="Normal"/>
              <w:widowContro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kern w:val="0"/>
                <w:sz w:val="22"/>
                <w:lang w:val="fr-FR" w:eastAsia="fr-FR" w:bidi="ar-SA"/>
              </w:rPr>
            </w:r>
          </w:p>
        </w:tc>
      </w:tr>
    </w:tbl>
    <w:p>
      <w:pPr>
        <w:pStyle w:val="Normal"/>
        <w:spacing w:lineRule="atLeast" w:line="336" w:before="0" w:after="173"/>
        <w:rPr>
          <w:rFonts w:ascii="Calibri" w:hAnsi="Calibri" w:eastAsia="Times New Roman" w:cs="Calibri" w:asciiTheme="minorHAnsi" w:cstheme="minorHAnsi" w:hAnsiTheme="minorHAnsi"/>
          <w:color w:val="000000"/>
          <w:sz w:val="24"/>
          <w:lang w:eastAsia="fr-FR"/>
        </w:rPr>
      </w:pPr>
      <w:r>
        <w:rPr>
          <w:rFonts w:eastAsia="Times New Roman" w:cs="Calibri" w:cstheme="minorHAnsi"/>
          <w:color w:val="000000"/>
          <w:sz w:val="22"/>
          <w:lang w:eastAsia="fr-FR"/>
        </w:rPr>
        <w:t>2. Montrer que l’activité de fourniture d’eau se caractérise par des économies d’échelle (</w:t>
      </w:r>
      <w:r>
        <w:rPr>
          <w:sz w:val="22"/>
        </w:rPr>
        <w:t>en augmentant le volume de production, une entreprise réalise des économies d’échelle, c'est-à-dire qu’elle répartit ses coûts fixes sur un plus grand nombre d’unités produites, ce qui abaisse son coût moyen).</w:t>
      </w:r>
    </w:p>
    <w:p>
      <w:pPr>
        <w:pStyle w:val="Norma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sz w:val="22"/>
          <w:lang w:eastAsia="fr-FR"/>
        </w:rPr>
        <w:t>3. Si le maire laisse s’installer une seule entreprise pour la fourniture d’eau aux 100 000 résidents. A combien s’élève le coût moyen total de la firme ?</w:t>
      </w:r>
    </w:p>
    <w:p>
      <w:pPr>
        <w:pStyle w:val="Norma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sz w:val="22"/>
          <w:lang w:eastAsia="fr-FR"/>
        </w:rPr>
        <w:t>4. S’il souhaite instaurer plus de concurrence sur ce marché et favoriser la création d’un duopole qui se répartit équitablement le marché de 100 000 résidents, à combien s’élèverait le coût moyen total de chaque firme.</w:t>
      </w:r>
    </w:p>
    <w:p>
      <w:pPr>
        <w:pStyle w:val="Normal"/>
        <w:spacing w:lineRule="atLeast" w:line="336"/>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sz w:val="22"/>
          <w:lang w:eastAsia="fr-FR"/>
        </w:rPr>
        <w:t>5. Quelle solution est la plus optimale économiquement ? Justifiez votre réponse.</w:t>
      </w:r>
    </w:p>
    <w:p>
      <w:pPr>
        <w:pStyle w:val="Normal"/>
        <w:tabs>
          <w:tab w:val="clear" w:pos="708"/>
          <w:tab w:val="left" w:pos="2115" w:leader="none"/>
        </w:tabs>
        <w:spacing w:before="0" w:after="0"/>
        <w:rPr>
          <w:rFonts w:ascii="Calibri" w:hAnsi="Calibri" w:cs="Calibri" w:asciiTheme="minorHAnsi" w:cstheme="minorHAnsi" w:hAnsiTheme="minorHAnsi"/>
          <w:b/>
          <w:color w:val="000000"/>
          <w:sz w:val="22"/>
        </w:rPr>
      </w:pPr>
      <w:r>
        <w:rPr>
          <w:rFonts w:cs="Calibri" w:cstheme="minorHAnsi"/>
          <w:b/>
          <w:color w:val="000000"/>
          <w:sz w:val="22"/>
        </w:rPr>
        <w:t>Exercice 3 : le surplus du monopole</w:t>
      </w:r>
    </w:p>
    <w:p>
      <w:pPr>
        <w:pStyle w:val="Normal"/>
        <w:spacing w:lineRule="atLeast" w:line="336" w:before="0" w:after="173"/>
        <w:jc w:val="left"/>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sz w:val="22"/>
          <w:lang w:eastAsia="fr-FR"/>
        </w:rPr>
        <w:t>L’entreprise Hightechphone présente son nouveau smartphone pour l’année 2020. Comme son modèle est original, elle n’a pas de concurrent proche. Le produit doit être écoulé avant la fin de l’année 2020.</w:t>
      </w:r>
    </w:p>
    <w:p>
      <w:pPr>
        <w:pStyle w:val="Normal"/>
        <w:spacing w:lineRule="atLeast" w:line="336" w:before="0" w:after="173"/>
        <w:jc w:val="left"/>
        <w:rPr>
          <w:rFonts w:ascii="Calibri" w:hAnsi="Calibri" w:eastAsia="Times New Roman" w:cs="Calibri" w:asciiTheme="minorHAnsi" w:cstheme="minorHAnsi" w:hAnsiTheme="minorHAnsi"/>
          <w:color w:val="000000"/>
          <w:sz w:val="22"/>
          <w:lang w:eastAsia="fr-FR"/>
        </w:rPr>
      </w:pPr>
      <w:r>
        <w:rPr/>
        <w:drawing>
          <wp:inline distT="0" distB="0" distL="0" distR="0">
            <wp:extent cx="3547745" cy="2026285"/>
            <wp:effectExtent l="0" t="0" r="0" b="0"/>
            <wp:docPr id="1" name="Image 8" descr="https://www.melchior.fr/sites/melchior/files/cours/March%C3%A9%20con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8" descr="https://www.melchior.fr/sites/melchior/files/cours/March%C3%A9%20conc/5.JPG"/>
                    <pic:cNvPicPr>
                      <a:picLocks noChangeAspect="1" noChangeArrowheads="1"/>
                    </pic:cNvPicPr>
                  </pic:nvPicPr>
                  <pic:blipFill>
                    <a:blip r:embed="rId2"/>
                    <a:srcRect l="5356" t="9219" r="10900" b="3531"/>
                    <a:stretch>
                      <a:fillRect/>
                    </a:stretch>
                  </pic:blipFill>
                  <pic:spPr bwMode="auto">
                    <a:xfrm>
                      <a:off x="0" y="0"/>
                      <a:ext cx="3547745" cy="2026285"/>
                    </a:xfrm>
                    <a:prstGeom prst="rect">
                      <a:avLst/>
                    </a:prstGeom>
                    <a:noFill/>
                  </pic:spPr>
                </pic:pic>
              </a:graphicData>
            </a:graphic>
          </wp:inline>
        </w:drawing>
      </w:r>
      <w:r>
        <w:rPr/>
        <w:drawing>
          <wp:inline distT="0" distB="0" distL="0" distR="0">
            <wp:extent cx="3014980" cy="1931035"/>
            <wp:effectExtent l="0" t="0" r="0" b="0"/>
            <wp:docPr id="2" name="Image 5" descr="https://www.melchior.fr/sites/melchior/files/cours/March%C3%A9%20conc/EXERC%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 descr="https://www.melchior.fr/sites/melchior/files/cours/March%C3%A9%20conc/EXERC%202.PNG"/>
                    <pic:cNvPicPr>
                      <a:picLocks noChangeAspect="1" noChangeArrowheads="1"/>
                    </pic:cNvPicPr>
                  </pic:nvPicPr>
                  <pic:blipFill>
                    <a:blip r:embed="rId3"/>
                    <a:srcRect l="46179" t="0" r="0" b="46991"/>
                    <a:stretch>
                      <a:fillRect/>
                    </a:stretch>
                  </pic:blipFill>
                  <pic:spPr bwMode="auto">
                    <a:xfrm>
                      <a:off x="0" y="0"/>
                      <a:ext cx="3014980" cy="1931035"/>
                    </a:xfrm>
                    <a:prstGeom prst="rect">
                      <a:avLst/>
                    </a:prstGeom>
                    <a:noFill/>
                  </pic:spPr>
                </pic:pic>
              </a:graphicData>
            </a:graphic>
          </wp:inline>
        </w:drawing>
      </w:r>
    </w:p>
    <w:p>
      <w:pPr>
        <w:pStyle w:val="Normal"/>
        <w:spacing w:lineRule="atLeast" w:line="336" w:before="0" w:after="173"/>
        <w:jc w:val="left"/>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sz w:val="22"/>
          <w:lang w:eastAsia="fr-FR"/>
        </w:rPr>
        <w:t>1. Si l’on se trouvait en situation concurrentielle, quelle serait la situation optimale, c'est-à-dire celle qui maximise le surplus total ?</w:t>
      </w:r>
    </w:p>
    <w:p>
      <w:pPr>
        <w:pStyle w:val="Normal"/>
        <w:spacing w:lineRule="atLeast" w:line="336" w:before="0" w:after="173"/>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sz w:val="22"/>
          <w:lang w:eastAsia="fr-FR"/>
        </w:rPr>
        <w:t>2. Supposons maintenant que ce monopole pratique la politique de prix suivante : à la sortie du produit, le prix du produit est 135€ ; en fin d’année, il est de 105€. Représentez les nouveaux surplus du producteur et du consommateur.</w:t>
      </w:r>
    </w:p>
    <w:p>
      <w:pPr>
        <w:pStyle w:val="Normal"/>
        <w:spacing w:lineRule="atLeast" w:line="336"/>
        <w:rPr>
          <w:rFonts w:ascii="Calibri" w:hAnsi="Calibri" w:eastAsia="Times New Roman" w:cs="Calibri" w:asciiTheme="minorHAnsi" w:cstheme="minorHAnsi" w:hAnsiTheme="minorHAnsi"/>
          <w:color w:val="000000"/>
          <w:sz w:val="22"/>
          <w:lang w:eastAsia="fr-FR"/>
        </w:rPr>
      </w:pPr>
      <w:r>
        <w:rPr>
          <w:rFonts w:eastAsia="Times New Roman" w:cs="Calibri" w:cstheme="minorHAnsi"/>
          <w:color w:val="000000"/>
          <w:sz w:val="22"/>
          <w:lang w:eastAsia="fr-FR"/>
        </w:rPr>
        <w:t>3. En analysant ces deux situations, que pouvez-vous déduire des effets de cette politique de prix pour le producteur ? Pour le consommateur ? Et globalement, pour la collectivité ?</w:t>
      </w:r>
    </w:p>
    <w:p>
      <w:pPr>
        <w:pStyle w:val="Normal"/>
        <w:spacing w:before="0" w:after="0"/>
        <w:jc w:val="right"/>
        <w:rPr>
          <w:rFonts w:ascii="Calibri" w:hAnsi="Calibri" w:cs="Calibri" w:asciiTheme="minorHAnsi" w:cstheme="minorHAnsi" w:hAnsiTheme="minorHAnsi"/>
          <w:sz w:val="22"/>
        </w:rPr>
      </w:pPr>
      <w:r>
        <w:rPr>
          <w:rFonts w:cs="Calibri" w:cstheme="minorHAnsi"/>
          <w:sz w:val="22"/>
        </w:rPr>
      </w:r>
    </w:p>
    <w:sectPr>
      <w:type w:val="nextPage"/>
      <w:pgSz w:w="11906" w:h="16838"/>
      <w:pgMar w:left="720" w:right="720" w:gutter="0" w:header="0" w:top="720" w:footer="0" w:bottom="72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Calibri Light">
    <w:charset w:val="00"/>
    <w:family w:val="swiss"/>
    <w:pitch w:val="variable"/>
  </w:font>
  <w:font w:name="Times">
    <w:altName w:val="Times New Roman"/>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fr-FR" w:eastAsia="fr-F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f1cbd"/>
    <w:pPr>
      <w:widowControl/>
      <w:bidi w:val="0"/>
      <w:spacing w:lineRule="auto" w:line="276" w:before="0" w:after="200"/>
      <w:jc w:val="both"/>
    </w:pPr>
    <w:rPr>
      <w:rFonts w:ascii="Calibri" w:hAnsi="Calibri" w:eastAsia="Calibri" w:cs="Times New Roman"/>
      <w:color w:val="auto"/>
      <w:kern w:val="0"/>
      <w:sz w:val="20"/>
      <w:szCs w:val="22"/>
      <w:lang w:eastAsia="en-US" w:val="fr-FR" w:bidi="ar-SA"/>
    </w:rPr>
  </w:style>
  <w:style w:type="paragraph" w:styleId="Heading3">
    <w:name w:val="heading 3"/>
    <w:basedOn w:val="Normal"/>
    <w:link w:val="Titre3Car"/>
    <w:uiPriority w:val="9"/>
    <w:qFormat/>
    <w:rsid w:val="002e4491"/>
    <w:pPr>
      <w:spacing w:lineRule="auto" w:line="240" w:beforeAutospacing="1" w:afterAutospacing="1"/>
      <w:jc w:val="left"/>
      <w:outlineLvl w:val="2"/>
    </w:pPr>
    <w:rPr>
      <w:rFonts w:ascii="Times New Roman" w:hAnsi="Times New Roman" w:eastAsia="Times New Roman"/>
      <w:b/>
      <w:bCs/>
      <w:sz w:val="27"/>
      <w:szCs w:val="27"/>
      <w:lang w:eastAsia="fr-FR"/>
    </w:rPr>
  </w:style>
  <w:style w:type="character" w:styleId="DefaultParagraphFont" w:default="1">
    <w:name w:val="Default Paragraph Font"/>
    <w:uiPriority w:val="1"/>
    <w:semiHidden/>
    <w:unhideWhenUsed/>
    <w:qFormat/>
    <w:rPr/>
  </w:style>
  <w:style w:type="character" w:styleId="TextedebullesCar" w:customStyle="1">
    <w:name w:val="Texte de bulles Car"/>
    <w:link w:val="BalloonText"/>
    <w:uiPriority w:val="99"/>
    <w:semiHidden/>
    <w:qFormat/>
    <w:rsid w:val="00764812"/>
    <w:rPr>
      <w:rFonts w:ascii="Tahoma" w:hAnsi="Tahoma" w:cs="Tahoma"/>
      <w:sz w:val="16"/>
      <w:szCs w:val="16"/>
    </w:rPr>
  </w:style>
  <w:style w:type="character" w:styleId="CorpsdetexteCar" w:customStyle="1">
    <w:name w:val="Corps de texte Car"/>
    <w:qFormat/>
    <w:rsid w:val="00662220"/>
    <w:rPr>
      <w:rFonts w:ascii="Times New Roman" w:hAnsi="Times New Roman" w:eastAsia="Times New Roman" w:cs="Times New Roman"/>
      <w:sz w:val="24"/>
      <w:szCs w:val="20"/>
      <w:lang w:eastAsia="fr-FR"/>
    </w:rPr>
  </w:style>
  <w:style w:type="character" w:styleId="Hyperlink" w:customStyle="1">
    <w:name w:val="Hyperlink"/>
    <w:uiPriority w:val="99"/>
    <w:unhideWhenUsed/>
    <w:rsid w:val="001e14c1"/>
    <w:rPr>
      <w:color w:val="0000FF"/>
      <w:u w:val="single"/>
    </w:rPr>
  </w:style>
  <w:style w:type="character" w:styleId="FollowedHyperlink">
    <w:name w:val="FollowedHyperlink"/>
    <w:uiPriority w:val="99"/>
    <w:semiHidden/>
    <w:unhideWhenUsed/>
    <w:qFormat/>
    <w:rsid w:val="00bd42b7"/>
    <w:rPr>
      <w:color w:val="800080"/>
      <w:u w:val="single"/>
    </w:rPr>
  </w:style>
  <w:style w:type="character" w:styleId="lien" w:customStyle="1">
    <w:name w:val="lien"/>
    <w:basedOn w:val="DefaultParagraphFont"/>
    <w:qFormat/>
    <w:rsid w:val="003468fb"/>
    <w:rPr/>
  </w:style>
  <w:style w:type="character" w:styleId="spipnoteref" w:customStyle="1">
    <w:name w:val="spip_note_ref"/>
    <w:basedOn w:val="DefaultParagraphFont"/>
    <w:qFormat/>
    <w:rsid w:val="001f148a"/>
    <w:rPr/>
  </w:style>
  <w:style w:type="character" w:styleId="glmot" w:customStyle="1">
    <w:name w:val="gl_mot"/>
    <w:basedOn w:val="DefaultParagraphFont"/>
    <w:qFormat/>
    <w:rsid w:val="001f148a"/>
    <w:rPr/>
  </w:style>
  <w:style w:type="character" w:styleId="En-tteCar" w:customStyle="1">
    <w:name w:val="En-tête Car"/>
    <w:uiPriority w:val="99"/>
    <w:qFormat/>
    <w:rsid w:val="00eb5d8a"/>
    <w:rPr>
      <w:rFonts w:ascii="Calibri" w:hAnsi="Calibri" w:cs="Times New Roman"/>
      <w:sz w:val="20"/>
    </w:rPr>
  </w:style>
  <w:style w:type="character" w:styleId="PieddepageCar" w:customStyle="1">
    <w:name w:val="Pied de page Car"/>
    <w:uiPriority w:val="99"/>
    <w:qFormat/>
    <w:rsid w:val="00eb5d8a"/>
    <w:rPr>
      <w:rFonts w:ascii="Calibri" w:hAnsi="Calibri" w:cs="Times New Roman"/>
      <w:sz w:val="20"/>
    </w:rPr>
  </w:style>
  <w:style w:type="character" w:styleId="Mentionnonrsolue1" w:customStyle="1">
    <w:name w:val="Mention non résolue1"/>
    <w:uiPriority w:val="99"/>
    <w:semiHidden/>
    <w:unhideWhenUsed/>
    <w:qFormat/>
    <w:rsid w:val="004b63e7"/>
    <w:rPr>
      <w:color w:val="605E5C"/>
      <w:shd w:fill="E1DFDD" w:val="clear"/>
    </w:rPr>
  </w:style>
  <w:style w:type="character" w:styleId="Emphasis">
    <w:name w:val="Emphasis"/>
    <w:uiPriority w:val="20"/>
    <w:qFormat/>
    <w:rsid w:val="00ad593a"/>
    <w:rPr>
      <w:i/>
      <w:iCs/>
    </w:rPr>
  </w:style>
  <w:style w:type="character" w:styleId="byline" w:customStyle="1">
    <w:name w:val="byline"/>
    <w:qFormat/>
    <w:rsid w:val="00dd1a59"/>
    <w:rPr/>
  </w:style>
  <w:style w:type="character" w:styleId="author" w:customStyle="1">
    <w:name w:val="author"/>
    <w:qFormat/>
    <w:rsid w:val="00dd1a59"/>
    <w:rPr/>
  </w:style>
  <w:style w:type="character" w:styleId="margintopsm" w:customStyle="1">
    <w:name w:val="margin_top_sm"/>
    <w:qFormat/>
    <w:rsid w:val="00dd1a59"/>
    <w:rPr/>
  </w:style>
  <w:style w:type="character" w:styleId="Titre3Car" w:customStyle="1">
    <w:name w:val="Titre 3 Car"/>
    <w:basedOn w:val="DefaultParagraphFont"/>
    <w:uiPriority w:val="9"/>
    <w:qFormat/>
    <w:rsid w:val="002e4491"/>
    <w:rPr>
      <w:rFonts w:ascii="Times New Roman" w:hAnsi="Times New Roman" w:eastAsia="Times New Roman"/>
      <w:b/>
      <w:bCs/>
      <w:sz w:val="27"/>
      <w:szCs w:val="27"/>
    </w:rPr>
  </w:style>
  <w:style w:type="character" w:styleId="Strong">
    <w:name w:val="Strong"/>
    <w:basedOn w:val="DefaultParagraphFont"/>
    <w:uiPriority w:val="22"/>
    <w:qFormat/>
    <w:rsid w:val="002e4491"/>
    <w:rPr>
      <w:b/>
      <w:bCs/>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sdetexteCar"/>
    <w:unhideWhenUsed/>
    <w:rsid w:val="00662220"/>
    <w:pPr>
      <w:spacing w:lineRule="auto" w:line="240" w:before="0" w:after="0"/>
    </w:pPr>
    <w:rPr>
      <w:rFonts w:ascii="Times New Roman" w:hAnsi="Times New Roman" w:eastAsia="Times New Roman"/>
      <w:sz w:val="24"/>
      <w:szCs w:val="20"/>
      <w:lang w:eastAsia="fr-FR"/>
    </w:rPr>
  </w:style>
  <w:style w:type="paragraph" w:styleId="List">
    <w:name w:val="List"/>
    <w:basedOn w:val="BodyText"/>
    <w:rsid w:val="000968e4"/>
    <w:pPr/>
    <w:rPr>
      <w:rFonts w:cs="Lucida Sans"/>
    </w:rPr>
  </w:style>
  <w:style w:type="paragraph" w:styleId="Caption">
    <w:name w:val="caption"/>
    <w:basedOn w:val="Normal"/>
    <w:qFormat/>
    <w:rsid w:val="000968e4"/>
    <w:pPr>
      <w:suppressLineNumbers/>
      <w:spacing w:before="120" w:after="120"/>
    </w:pPr>
    <w:rPr>
      <w:rFonts w:cs="Lucida Sans"/>
      <w:i/>
      <w:iCs/>
      <w:sz w:val="24"/>
      <w:szCs w:val="24"/>
    </w:rPr>
  </w:style>
  <w:style w:type="paragraph" w:styleId="Index" w:customStyle="1">
    <w:name w:val="Index"/>
    <w:basedOn w:val="Normal"/>
    <w:qFormat/>
    <w:rsid w:val="000968e4"/>
    <w:pPr>
      <w:suppressLineNumbers/>
    </w:pPr>
    <w:rPr>
      <w:rFonts w:cs="Lucida Sans"/>
    </w:rPr>
  </w:style>
  <w:style w:type="paragraph" w:styleId="Title">
    <w:name w:val="Title"/>
    <w:basedOn w:val="Normal"/>
    <w:next w:val="BodyText"/>
    <w:qFormat/>
    <w:rsid w:val="000968e4"/>
    <w:pPr>
      <w:keepNext w:val="true"/>
      <w:spacing w:before="240" w:after="120"/>
    </w:pPr>
    <w:rPr>
      <w:rFonts w:ascii="Liberation Sans" w:hAnsi="Liberation Sans" w:eastAsia="Microsoft YaHei" w:cs="Lucida Sans"/>
      <w:sz w:val="28"/>
      <w:szCs w:val="28"/>
    </w:rPr>
  </w:style>
  <w:style w:type="paragraph" w:styleId="NoSpacing">
    <w:name w:val="No Spacing"/>
    <w:autoRedefine/>
    <w:uiPriority w:val="1"/>
    <w:qFormat/>
    <w:rsid w:val="000e77d8"/>
    <w:pPr>
      <w:widowControl/>
      <w:bidi w:val="0"/>
      <w:spacing w:before="0" w:after="0"/>
      <w:jc w:val="left"/>
    </w:pPr>
    <w:rPr>
      <w:rFonts w:ascii="Calibri Light" w:hAnsi="Calibri Light" w:cs="Calibri Light" w:eastAsia="Calibri"/>
      <w:bCs/>
      <w:color w:val="000000"/>
      <w:kern w:val="0"/>
      <w:sz w:val="24"/>
      <w:szCs w:val="24"/>
      <w:lang w:val="fr-FR" w:eastAsia="fr-FR" w:bidi="ar-SA"/>
    </w:rPr>
  </w:style>
  <w:style w:type="paragraph" w:styleId="BalloonText">
    <w:name w:val="Balloon Text"/>
    <w:basedOn w:val="Normal"/>
    <w:link w:val="TextedebullesCar"/>
    <w:uiPriority w:val="99"/>
    <w:semiHidden/>
    <w:unhideWhenUsed/>
    <w:qFormat/>
    <w:rsid w:val="00764812"/>
    <w:pPr>
      <w:spacing w:lineRule="auto" w:line="240" w:before="0" w:after="0"/>
    </w:pPr>
    <w:rPr>
      <w:rFonts w:ascii="Tahoma" w:hAnsi="Tahoma"/>
      <w:sz w:val="16"/>
      <w:szCs w:val="16"/>
    </w:rPr>
  </w:style>
  <w:style w:type="paragraph" w:styleId="ListParagraph">
    <w:name w:val="List Paragraph"/>
    <w:basedOn w:val="Normal"/>
    <w:uiPriority w:val="34"/>
    <w:qFormat/>
    <w:rsid w:val="00375316"/>
    <w:pPr>
      <w:spacing w:before="0" w:after="200"/>
      <w:ind w:left="720"/>
      <w:contextualSpacing/>
    </w:pPr>
    <w:rPr>
      <w:rFonts w:ascii="Times New Roman" w:hAnsi="Times New Roman"/>
    </w:rPr>
  </w:style>
  <w:style w:type="paragraph" w:styleId="NormalWeb">
    <w:name w:val="Normal (Web)"/>
    <w:basedOn w:val="Normal"/>
    <w:uiPriority w:val="99"/>
    <w:unhideWhenUsed/>
    <w:qFormat/>
    <w:rsid w:val="00c2560d"/>
    <w:pPr>
      <w:spacing w:lineRule="auto" w:line="240" w:beforeAutospacing="1" w:afterAutospacing="1"/>
      <w:jc w:val="left"/>
    </w:pPr>
    <w:rPr>
      <w:rFonts w:ascii="Times" w:hAnsi="Times"/>
      <w:szCs w:val="20"/>
      <w:lang w:eastAsia="fr-FR"/>
    </w:rPr>
  </w:style>
  <w:style w:type="paragraph" w:styleId="En-tteetpieddepageuser" w:customStyle="1">
    <w:name w:val="En-tête et pied de page (user)"/>
    <w:basedOn w:val="Normal"/>
    <w:qFormat/>
    <w:rsid w:val="000968e4"/>
    <w:pPr/>
    <w:rPr/>
  </w:style>
  <w:style w:type="paragraph" w:styleId="En-tteetpieddepage">
    <w:name w:val="En-tête et pied de page"/>
    <w:basedOn w:val="Normal"/>
    <w:qFormat/>
    <w:pPr/>
    <w:rPr/>
  </w:style>
  <w:style w:type="paragraph" w:styleId="Header">
    <w:name w:val="header"/>
    <w:basedOn w:val="Normal"/>
    <w:uiPriority w:val="99"/>
    <w:unhideWhenUsed/>
    <w:rsid w:val="00eb5d8a"/>
    <w:pPr>
      <w:tabs>
        <w:tab w:val="clear" w:pos="708"/>
        <w:tab w:val="center" w:pos="4536" w:leader="none"/>
        <w:tab w:val="right" w:pos="9072" w:leader="none"/>
      </w:tabs>
      <w:spacing w:lineRule="auto" w:line="240" w:before="0" w:after="0"/>
    </w:pPr>
    <w:rPr>
      <w:szCs w:val="20"/>
    </w:rPr>
  </w:style>
  <w:style w:type="paragraph" w:styleId="Footer">
    <w:name w:val="footer"/>
    <w:basedOn w:val="Normal"/>
    <w:link w:val="PieddepageCar"/>
    <w:uiPriority w:val="99"/>
    <w:unhideWhenUsed/>
    <w:rsid w:val="00eb5d8a"/>
    <w:pPr>
      <w:tabs>
        <w:tab w:val="clear" w:pos="708"/>
        <w:tab w:val="center" w:pos="4536" w:leader="none"/>
        <w:tab w:val="right" w:pos="9072" w:leader="none"/>
      </w:tabs>
      <w:spacing w:lineRule="auto" w:line="240" w:before="0" w:after="0"/>
    </w:pPr>
    <w:rPr>
      <w:szCs w:val="20"/>
    </w:rPr>
  </w:style>
  <w:style w:type="paragraph" w:styleId="txt" w:customStyle="1">
    <w:name w:val="txt"/>
    <w:basedOn w:val="Normal"/>
    <w:qFormat/>
    <w:rsid w:val="00c91994"/>
    <w:pPr>
      <w:spacing w:lineRule="auto" w:line="240" w:beforeAutospacing="1" w:afterAutospacing="1"/>
      <w:jc w:val="left"/>
    </w:pPr>
    <w:rPr>
      <w:rFonts w:ascii="Times New Roman" w:hAnsi="Times New Roman" w:eastAsia="Times New Roman"/>
      <w:sz w:val="24"/>
      <w:szCs w:val="24"/>
      <w:lang w:eastAsia="fr-FR"/>
    </w:rPr>
  </w:style>
  <w:style w:type="paragraph" w:styleId="articleparagraph" w:customStyle="1">
    <w:name w:val="article__paragraph"/>
    <w:basedOn w:val="Normal"/>
    <w:qFormat/>
    <w:rsid w:val="00ad593a"/>
    <w:pPr>
      <w:spacing w:lineRule="auto" w:line="240" w:beforeAutospacing="1" w:afterAutospacing="1"/>
      <w:jc w:val="left"/>
    </w:pPr>
    <w:rPr>
      <w:rFonts w:ascii="Times New Roman" w:hAnsi="Times New Roman" w:eastAsia="Times New Roman"/>
      <w:sz w:val="24"/>
      <w:szCs w:val="24"/>
      <w:lang w:eastAsia="fr-FR"/>
    </w:rPr>
  </w:style>
  <w:style w:type="paragraph" w:styleId="paragraph" w:customStyle="1">
    <w:name w:val="paragraph"/>
    <w:basedOn w:val="Normal"/>
    <w:qFormat/>
    <w:rsid w:val="00dd1a59"/>
    <w:pPr>
      <w:spacing w:lineRule="auto" w:line="240" w:beforeAutospacing="1" w:afterAutospacing="1"/>
      <w:jc w:val="left"/>
    </w:pPr>
    <w:rPr>
      <w:rFonts w:ascii="Times New Roman" w:hAnsi="Times New Roman" w:eastAsia="Times New Roman"/>
      <w:sz w:val="24"/>
      <w:szCs w:val="24"/>
      <w:lang w:eastAsia="fr-FR"/>
    </w:rPr>
  </w:style>
  <w:style w:type="paragraph" w:styleId="Contenudecadreuser" w:customStyle="1">
    <w:name w:val="Contenu de cadre (user)"/>
    <w:basedOn w:val="Normal"/>
    <w:qFormat/>
    <w:rsid w:val="000968e4"/>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c722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BE76E-32AF-41DD-89B4-EE57924CF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Application>LibreOffice/24.8.6.2$Windows_X86_64 LibreOffice_project/6d98ba145e9a8a39fc57bcc76981d1fb1316c60c</Application>
  <AppVersion>15.0000</AppVersion>
  <DocSecurity>0</DocSecurity>
  <Pages>2</Pages>
  <Words>768</Words>
  <Characters>4188</Characters>
  <CharactersWithSpaces>4912</CharactersWithSpaces>
  <Paragraphs>47</Paragraphs>
  <Company>REGION BRETAGNE - DSI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2021-11-10T15:39:00Z</dcterms:created>
  <dc:creator>Nicolas</dc:creator>
  <dc:description/>
  <dc:language>fr-FR</dc:language>
  <cp:lastModifiedBy/>
  <cp:lastPrinted>2019-10-14T08:08:00Z</cp:lastPrinted>
  <dcterms:modified xsi:type="dcterms:W3CDTF">2025-12-17T12:08:29Z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