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Calibri" w:hAnsi="Calibri" w:cs="Calibri" w:asciiTheme="majorHAnsi" w:cstheme="majorHAnsi" w:hAnsiTheme="majorHAnsi"/>
          <w:b/>
          <w:bCs/>
          <w:sz w:val="36"/>
          <w:szCs w:val="36"/>
        </w:rPr>
      </w:pPr>
      <w:r>
        <w:rPr>
          <w:rFonts w:cs="Calibri" w:ascii="Calibri" w:hAnsi="Calibri" w:asciiTheme="majorHAnsi" w:cstheme="majorHAnsi" w:hAnsiTheme="majorHAnsi"/>
          <w:b/>
          <w:bCs/>
          <w:sz w:val="36"/>
          <w:szCs w:val="36"/>
        </w:rPr>
        <w:t>Activité sur la désobéissance civile</w:t>
      </w:r>
    </w:p>
    <w:p>
      <w:pPr>
        <w:pStyle w:val="Normal"/>
        <w:widowControl w:val="false"/>
        <w:jc w:val="both"/>
        <w:rPr>
          <w:rFonts w:ascii="Calibri" w:hAnsi="Calibri" w:cs="Calibri" w:asciiTheme="majorHAnsi" w:cstheme="majorHAnsi" w:hAnsiTheme="majorHAnsi"/>
        </w:rPr>
      </w:pPr>
      <w:r>
        <w:rPr>
          <w:rFonts w:cs="Calibri" w:cstheme="majorHAnsi" w:ascii="Calibri" w:hAnsi="Calibri"/>
        </w:rPr>
      </w:r>
    </w:p>
    <w:p>
      <w:pPr>
        <w:pStyle w:val="Normal"/>
        <w:widowControl w:val="false"/>
        <w:pBdr>
          <w:top w:val="single" w:sz="4" w:space="1" w:color="000000"/>
          <w:left w:val="single" w:sz="4" w:space="4" w:color="000000"/>
          <w:bottom w:val="single" w:sz="4" w:space="1" w:color="000000"/>
          <w:right w:val="single" w:sz="4" w:space="4" w:color="000000"/>
        </w:pBdr>
        <w:ind w:firstLine="142"/>
        <w:jc w:val="both"/>
        <w:rPr>
          <w:rFonts w:ascii="Calibri" w:hAnsi="Calibri" w:cs="Calibri" w:asciiTheme="majorHAnsi" w:cstheme="majorHAnsi" w:hAnsiTheme="majorHAnsi"/>
          <w:b/>
          <w:bCs/>
          <w:kern w:val="2"/>
          <w:sz w:val="18"/>
        </w:rPr>
      </w:pPr>
      <w:r>
        <w:rPr>
          <w:rFonts w:cs="Calibri" w:ascii="Calibri" w:hAnsi="Calibri" w:asciiTheme="majorHAnsi" w:cstheme="majorHAnsi" w:hAnsiTheme="majorHAnsi"/>
          <w:b/>
          <w:bCs/>
          <w:kern w:val="2"/>
          <w:sz w:val="18"/>
        </w:rPr>
        <w:t>La désobéissance civile, quand la loi républicaine est injuste ou illégitime</w:t>
      </w:r>
    </w:p>
    <w:p>
      <w:pPr>
        <w:pStyle w:val="Normal"/>
        <w:pBdr>
          <w:top w:val="single" w:sz="4" w:space="1" w:color="000000"/>
          <w:left w:val="single" w:sz="4" w:space="4" w:color="000000"/>
          <w:bottom w:val="single" w:sz="4" w:space="1" w:color="000000"/>
          <w:right w:val="single" w:sz="4" w:space="4" w:color="000000"/>
        </w:pBdr>
        <w:ind w:firstLine="142"/>
        <w:jc w:val="both"/>
        <w:rPr>
          <w:rFonts w:ascii="Calibri" w:hAnsi="Calibri" w:cs="Calibri" w:asciiTheme="majorHAnsi" w:cstheme="majorHAnsi" w:hAnsiTheme="majorHAnsi"/>
          <w:sz w:val="18"/>
        </w:rPr>
      </w:pPr>
      <w:r>
        <w:rPr>
          <w:rFonts w:cs="Calibri" w:cstheme="majorHAnsi" w:ascii="Calibri" w:hAnsi="Calibri"/>
          <w:sz w:val="18"/>
        </w:rPr>
      </w:r>
    </w:p>
    <w:p>
      <w:pPr>
        <w:pStyle w:val="Normal"/>
        <w:pBdr>
          <w:top w:val="single" w:sz="4" w:space="1" w:color="000000"/>
          <w:left w:val="single" w:sz="4" w:space="4" w:color="000000"/>
          <w:bottom w:val="single" w:sz="4" w:space="1" w:color="000000"/>
          <w:right w:val="single" w:sz="4" w:space="4" w:color="000000"/>
        </w:pBdr>
        <w:ind w:firstLine="142"/>
        <w:jc w:val="both"/>
        <w:rPr>
          <w:rFonts w:ascii="Calibri" w:hAnsi="Calibri" w:cs="Calibri" w:asciiTheme="majorHAnsi" w:cstheme="majorHAnsi" w:hAnsiTheme="majorHAnsi"/>
          <w:sz w:val="18"/>
        </w:rPr>
      </w:pPr>
      <w:r>
        <w:rPr>
          <w:rFonts w:cs="Calibri" w:ascii="Calibri" w:hAnsi="Calibri" w:asciiTheme="majorHAnsi" w:cstheme="majorHAnsi" w:hAnsiTheme="majorHAnsi"/>
          <w:sz w:val="18"/>
        </w:rPr>
        <w:t>La désobéissance civile, c'est refuser d'obéir à une loi républicaine que l'on trouve injuste, illégitime. Voilà ce que prône Extinction Rebellion, ce mouvement de résistance écologique qui a empêché, le week-end dernier, des clients d'accéder au centre commercial Italie 2. « Nous sommes prêt·e·s à enfreindre la loi et à en subir les conséquences, y compris l'emprisonnement. La Rébellion commence maintenant », écrit dans son manifeste ce mouvement britannique importé en France il y a quelques mois.</w:t>
      </w:r>
    </w:p>
    <w:p>
      <w:pPr>
        <w:pStyle w:val="Normal"/>
        <w:pBdr>
          <w:top w:val="single" w:sz="4" w:space="1" w:color="000000"/>
          <w:left w:val="single" w:sz="4" w:space="4" w:color="000000"/>
          <w:bottom w:val="single" w:sz="4" w:space="1" w:color="000000"/>
          <w:right w:val="single" w:sz="4" w:space="4" w:color="000000"/>
        </w:pBdr>
        <w:ind w:firstLine="142"/>
        <w:jc w:val="both"/>
        <w:rPr>
          <w:rFonts w:ascii="Calibri" w:hAnsi="Calibri" w:cs="Calibri" w:asciiTheme="majorHAnsi" w:cstheme="majorHAnsi" w:hAnsiTheme="majorHAnsi"/>
          <w:sz w:val="18"/>
        </w:rPr>
      </w:pPr>
      <w:r>
        <w:rPr>
          <w:rFonts w:cs="Calibri" w:ascii="Calibri" w:hAnsi="Calibri" w:asciiTheme="majorHAnsi" w:cstheme="majorHAnsi" w:hAnsiTheme="majorHAnsi"/>
          <w:sz w:val="18"/>
        </w:rPr>
        <w:t>Mais ce n'est pas la première fois que des militants appellent les citoyens à ne pas se plier aux lois de la République. Le concept de désobéissance civile a été théorisé aux États-Unis par Henry David Thoreau, au XIX</w:t>
      </w:r>
      <w:r>
        <w:rPr>
          <w:rFonts w:cs="Calibri" w:ascii="Calibri" w:hAnsi="Calibri" w:asciiTheme="majorHAnsi" w:cstheme="majorHAnsi" w:hAnsiTheme="majorHAnsi"/>
          <w:sz w:val="18"/>
          <w:vertAlign w:val="superscript"/>
        </w:rPr>
        <w:t>e</w:t>
      </w:r>
      <w:r>
        <w:rPr>
          <w:rFonts w:cs="Calibri" w:ascii="Calibri" w:hAnsi="Calibri" w:asciiTheme="majorHAnsi" w:cstheme="majorHAnsi" w:hAnsiTheme="majorHAnsi"/>
          <w:sz w:val="18"/>
        </w:rPr>
        <w:t xml:space="preserve"> siècle, dans un ouvrage du même nom publié en 1849. Trois ans plus tôt, il avait refusé de payer des impôts qui finançaient la guerre au Mexique. Plus tard, Gandhi, au début du XX</w:t>
      </w:r>
      <w:r>
        <w:rPr>
          <w:rFonts w:cs="Calibri" w:ascii="Calibri" w:hAnsi="Calibri" w:asciiTheme="majorHAnsi" w:cstheme="majorHAnsi" w:hAnsiTheme="majorHAnsi"/>
          <w:sz w:val="18"/>
          <w:vertAlign w:val="superscript"/>
        </w:rPr>
        <w:t>e</w:t>
      </w:r>
      <w:r>
        <w:rPr>
          <w:rFonts w:cs="Calibri" w:ascii="Calibri" w:hAnsi="Calibri" w:asciiTheme="majorHAnsi" w:cstheme="majorHAnsi" w:hAnsiTheme="majorHAnsi"/>
          <w:sz w:val="18"/>
        </w:rPr>
        <w:t xml:space="preserve"> siècle, s'empare du concept et appelle au boycott des produits britanniques pour engager la décolonisation de l'Inde. Martin Luther King adopte une démarche identique pour militer contre la ségrégation aux États-Unis, dans les années 1950. Accompagné par la foule, le pasteur investit notamment des lieux interdits aux Noirs.</w:t>
      </w:r>
    </w:p>
    <w:p>
      <w:pPr>
        <w:pStyle w:val="Normal"/>
        <w:pBdr>
          <w:top w:val="single" w:sz="4" w:space="1" w:color="000000"/>
          <w:left w:val="single" w:sz="4" w:space="4" w:color="000000"/>
          <w:bottom w:val="single" w:sz="4" w:space="1" w:color="000000"/>
          <w:right w:val="single" w:sz="4" w:space="4" w:color="000000"/>
        </w:pBdr>
        <w:ind w:firstLine="142"/>
        <w:jc w:val="both"/>
        <w:rPr>
          <w:rFonts w:ascii="Calibri" w:hAnsi="Calibri" w:cs="Calibri" w:asciiTheme="majorHAnsi" w:cstheme="majorHAnsi" w:hAnsiTheme="majorHAnsi"/>
          <w:sz w:val="18"/>
        </w:rPr>
      </w:pPr>
      <w:r>
        <w:rPr>
          <w:rFonts w:cs="Calibri" w:ascii="Calibri" w:hAnsi="Calibri" w:asciiTheme="majorHAnsi" w:cstheme="majorHAnsi" w:hAnsiTheme="majorHAnsi"/>
          <w:sz w:val="18"/>
        </w:rPr>
        <w:t>En France, le concept de désobéissance a été saisi par le général de Gaulle, qui a appelé à la Résistance lorsque les pleins pouvoirs ont été donnés au maréchal Pétain. Depuis, il a été de nombreuses fois revendiqué. En voici quelques exemples.</w:t>
      </w:r>
    </w:p>
    <w:p>
      <w:pPr>
        <w:pStyle w:val="Normal"/>
        <w:pBdr>
          <w:top w:val="single" w:sz="4" w:space="1" w:color="000000"/>
          <w:left w:val="single" w:sz="4" w:space="4" w:color="000000"/>
          <w:bottom w:val="single" w:sz="4" w:space="1" w:color="000000"/>
          <w:right w:val="single" w:sz="4" w:space="4" w:color="000000"/>
        </w:pBdr>
        <w:ind w:firstLine="142"/>
        <w:rPr>
          <w:rFonts w:ascii="Calibri" w:hAnsi="Calibri" w:cs="Calibri" w:asciiTheme="majorHAnsi" w:cstheme="majorHAnsi" w:hAnsiTheme="majorHAnsi"/>
          <w:sz w:val="18"/>
        </w:rPr>
      </w:pPr>
      <w:r>
        <w:rPr>
          <w:rFonts w:cs="Calibri" w:ascii="Calibri" w:hAnsi="Calibri" w:asciiTheme="majorHAnsi" w:cstheme="majorHAnsi" w:hAnsiTheme="majorHAnsi"/>
          <w:b/>
          <w:bCs/>
          <w:sz w:val="18"/>
        </w:rPr>
        <w:t>Le Manifeste des 121.</w:t>
      </w:r>
      <w:r>
        <w:rPr>
          <w:rFonts w:cs="Calibri" w:ascii="Calibri" w:hAnsi="Calibri" w:asciiTheme="majorHAnsi" w:cstheme="majorHAnsi" w:hAnsiTheme="majorHAnsi"/>
          <w:sz w:val="18"/>
        </w:rPr>
        <w:t xml:space="preserve"> En pleine guerre d'Algérie, des intellectuels se regroupent et s'accordent sur leur volonté de ne pas participer au conflit : « Nous respectons et jugeons justifié le refus de prendre les armes contre le peuple algérien. Nous respectons et jugeons justifiée la conduite des Français qui estiment de leur devoir d'apporter aide et protection aux Algériens opprimés au nom du peuple français », écrivent-ils en 1960. Les écrivains Jean-Paul Sartre, Marguerite Duras, Françoise Sagan ou encore le cinéaste François Truffaut figurent parmi les signataires. Preuve que ce texte est une manifestation de désobéissance civile : le gouvernement français réagit par ordonnance en aggravant les peines visant la provocation à l'insoumission, la désertion ou la destruction du livret militaire.</w:t>
      </w:r>
    </w:p>
    <w:p>
      <w:pPr>
        <w:pStyle w:val="Normal"/>
        <w:pBdr>
          <w:top w:val="single" w:sz="4" w:space="1" w:color="000000"/>
          <w:left w:val="single" w:sz="4" w:space="4" w:color="000000"/>
          <w:bottom w:val="single" w:sz="4" w:space="1" w:color="000000"/>
          <w:right w:val="single" w:sz="4" w:space="4" w:color="000000"/>
        </w:pBdr>
        <w:ind w:firstLine="142"/>
        <w:jc w:val="both"/>
        <w:rPr>
          <w:rFonts w:ascii="Calibri" w:hAnsi="Calibri" w:cs="Calibri" w:asciiTheme="majorHAnsi" w:cstheme="majorHAnsi" w:hAnsiTheme="majorHAnsi"/>
          <w:sz w:val="18"/>
        </w:rPr>
      </w:pPr>
      <w:r>
        <w:rPr>
          <w:rFonts w:cs="Calibri" w:ascii="Calibri" w:hAnsi="Calibri" w:asciiTheme="majorHAnsi" w:cstheme="majorHAnsi" w:hAnsiTheme="majorHAnsi"/>
          <w:b/>
          <w:bCs/>
          <w:sz w:val="18"/>
        </w:rPr>
        <w:t>Le « Manifeste des 343 »</w:t>
      </w:r>
      <w:r>
        <w:rPr>
          <w:rFonts w:cs="Calibri" w:ascii="Calibri" w:hAnsi="Calibri" w:asciiTheme="majorHAnsi" w:cstheme="majorHAnsi" w:hAnsiTheme="majorHAnsi"/>
          <w:sz w:val="18"/>
        </w:rPr>
        <w:t xml:space="preserve">. « Mais, monsieur le juge, je ne suis pas coupable ! C'est votre loi qui est coupable ! » Ces mots remontent à 1971 et appartiennent à Michèle Chevalier, une employée de la RATP, qui a aidé </w:t>
      </w:r>
      <w:hyperlink r:id="rId2" w:tgtFrame="_blank">
        <w:r>
          <w:rPr>
            <w:rStyle w:val="Style9"/>
            <w:rFonts w:cs="Calibri" w:ascii="Calibri" w:hAnsi="Calibri" w:asciiTheme="majorHAnsi" w:cstheme="majorHAnsi" w:hAnsiTheme="majorHAnsi"/>
            <w:sz w:val="18"/>
          </w:rPr>
          <w:t>sa fille Marie-Claire, âgée de 16 ans et violée par un garçon de son lycée</w:t>
        </w:r>
      </w:hyperlink>
      <w:r>
        <w:rPr>
          <w:rFonts w:cs="Calibri" w:ascii="Calibri" w:hAnsi="Calibri" w:asciiTheme="majorHAnsi" w:cstheme="majorHAnsi" w:hAnsiTheme="majorHAnsi"/>
          <w:sz w:val="18"/>
        </w:rPr>
        <w:t>, à se faire avorter. La pratique est alors considérée comme criminelle par la loi française. L'avocate de Marie-Claire n'est autre que Gisèle Halimi, l'une des 343 femmes qui revendiquent avoir eu recours à l'avortement. Débute alors le fameux « procès de Bobigny » qui engendrera des manifestations dans toute la France et mènera à la légalisation, en 1975, de l'interruption volontaire de grossesse (IVG).</w:t>
      </w:r>
    </w:p>
    <w:p>
      <w:pPr>
        <w:pStyle w:val="Normal"/>
        <w:pBdr>
          <w:top w:val="single" w:sz="4" w:space="1" w:color="000000"/>
          <w:left w:val="single" w:sz="4" w:space="4" w:color="000000"/>
          <w:bottom w:val="single" w:sz="4" w:space="1" w:color="000000"/>
          <w:right w:val="single" w:sz="4" w:space="4" w:color="000000"/>
        </w:pBdr>
        <w:ind w:firstLine="142"/>
        <w:jc w:val="both"/>
        <w:rPr>
          <w:rFonts w:ascii="Calibri" w:hAnsi="Calibri" w:cs="Calibri" w:asciiTheme="majorHAnsi" w:cstheme="majorHAnsi" w:hAnsiTheme="majorHAnsi"/>
          <w:sz w:val="18"/>
        </w:rPr>
      </w:pPr>
      <w:r>
        <w:rPr>
          <w:rFonts w:cs="Calibri" w:ascii="Calibri" w:hAnsi="Calibri" w:asciiTheme="majorHAnsi" w:cstheme="majorHAnsi" w:hAnsiTheme="majorHAnsi"/>
          <w:b/>
          <w:bCs/>
          <w:sz w:val="18"/>
        </w:rPr>
        <w:t>La lutte du Larzac.</w:t>
      </w:r>
      <w:r>
        <w:rPr>
          <w:rFonts w:cs="Calibri" w:ascii="Calibri" w:hAnsi="Calibri" w:asciiTheme="majorHAnsi" w:cstheme="majorHAnsi" w:hAnsiTheme="majorHAnsi"/>
          <w:sz w:val="18"/>
        </w:rPr>
        <w:t xml:space="preserve"> Ils auraient dû être expropriés pour laisser leur terre des Causses à l'extension d'un camp militaire. Mais, de 1970 à 1981, ces </w:t>
      </w:r>
      <w:hyperlink r:id="rId3" w:tgtFrame="_blank">
        <w:r>
          <w:rPr>
            <w:rStyle w:val="Style9"/>
            <w:rFonts w:cs="Calibri" w:ascii="Calibri" w:hAnsi="Calibri" w:asciiTheme="majorHAnsi" w:cstheme="majorHAnsi" w:hAnsiTheme="majorHAnsi"/>
            <w:sz w:val="18"/>
          </w:rPr>
          <w:t>103 familles de paysans du plateau du Larzac</w:t>
        </w:r>
      </w:hyperlink>
      <w:r>
        <w:rPr>
          <w:rFonts w:cs="Calibri" w:ascii="Calibri" w:hAnsi="Calibri" w:asciiTheme="majorHAnsi" w:cstheme="majorHAnsi" w:hAnsiTheme="majorHAnsi"/>
          <w:sz w:val="18"/>
        </w:rPr>
        <w:t>, rejointes par des militants de gauche, appellent à la désobéissance civile non-violente. Ainsi, un éleveur de brebis décide de construire une nouvelle bergerie, sans permis de construire, sur la terre dont il devait être exproprié, tandis que des milliers de personnes ne payent qu'une partie de leurs impôts pour reverser le reliquat à la résistance paysanne. À son accession à la présidence en 1981, François Mitterrand ordonnera l'abandon du projet.</w:t>
      </w:r>
    </w:p>
    <w:p>
      <w:pPr>
        <w:pStyle w:val="Normal"/>
        <w:pBdr>
          <w:top w:val="single" w:sz="4" w:space="1" w:color="000000"/>
          <w:left w:val="single" w:sz="4" w:space="4" w:color="000000"/>
          <w:bottom w:val="single" w:sz="4" w:space="1" w:color="000000"/>
          <w:right w:val="single" w:sz="4" w:space="4" w:color="000000"/>
        </w:pBdr>
        <w:ind w:firstLine="142"/>
        <w:jc w:val="both"/>
        <w:rPr>
          <w:rFonts w:ascii="Calibri" w:hAnsi="Calibri" w:cs="Calibri" w:asciiTheme="majorHAnsi" w:cstheme="majorHAnsi" w:hAnsiTheme="majorHAnsi"/>
          <w:sz w:val="18"/>
        </w:rPr>
      </w:pPr>
      <w:r>
        <w:rPr>
          <w:rFonts w:cs="Calibri" w:ascii="Calibri" w:hAnsi="Calibri" w:asciiTheme="majorHAnsi" w:cstheme="majorHAnsi" w:hAnsiTheme="majorHAnsi"/>
          <w:b/>
          <w:bCs/>
          <w:sz w:val="18"/>
        </w:rPr>
        <w:t>Les faucheurs volontaires.</w:t>
      </w:r>
      <w:r>
        <w:rPr>
          <w:rFonts w:cs="Calibri" w:ascii="Calibri" w:hAnsi="Calibri" w:asciiTheme="majorHAnsi" w:cstheme="majorHAnsi" w:hAnsiTheme="majorHAnsi"/>
          <w:sz w:val="18"/>
        </w:rPr>
        <w:t xml:space="preserve"> Leur figure médiatique est José Bové, sa moustache, sa gouaille et son franc-parler. Fervent pourfendeur des cultures OGM, cet agriculteur du Sud-Ouest a mené, avec d'autres faucheurs, des campagnes de destruction de champs de maïs transgénique au début des années 2000. Alors que </w:t>
      </w:r>
      <w:hyperlink r:id="rId4" w:tgtFrame="_blank">
        <w:r>
          <w:rPr>
            <w:rStyle w:val="Style9"/>
            <w:rFonts w:cs="Calibri" w:ascii="Calibri" w:hAnsi="Calibri" w:asciiTheme="majorHAnsi" w:cstheme="majorHAnsi" w:hAnsiTheme="majorHAnsi"/>
            <w:sz w:val="18"/>
          </w:rPr>
          <w:t>58 d'entre eux étaient relaxés à Chartres</w:t>
        </w:r>
      </w:hyperlink>
      <w:r>
        <w:rPr>
          <w:rFonts w:cs="Calibri" w:ascii="Calibri" w:hAnsi="Calibri" w:asciiTheme="majorHAnsi" w:cstheme="majorHAnsi" w:hAnsiTheme="majorHAnsi"/>
          <w:sz w:val="18"/>
        </w:rPr>
        <w:t>, José Bové déclarera : « Des magistrats ont compris que l'intérêt général devait primer sur l'intérêt individuel de quelques firmes multinationales. »</w:t>
      </w:r>
    </w:p>
    <w:p>
      <w:pPr>
        <w:pStyle w:val="Normal"/>
        <w:pBdr>
          <w:top w:val="single" w:sz="4" w:space="1" w:color="000000"/>
          <w:left w:val="single" w:sz="4" w:space="4" w:color="000000"/>
          <w:bottom w:val="single" w:sz="4" w:space="1" w:color="000000"/>
          <w:right w:val="single" w:sz="4" w:space="4" w:color="000000"/>
        </w:pBdr>
        <w:ind w:firstLine="142"/>
        <w:jc w:val="both"/>
        <w:rPr>
          <w:rFonts w:ascii="Calibri" w:hAnsi="Calibri" w:cs="Calibri" w:asciiTheme="majorHAnsi" w:cstheme="majorHAnsi" w:hAnsiTheme="majorHAnsi"/>
          <w:sz w:val="18"/>
        </w:rPr>
      </w:pPr>
      <w:r>
        <w:rPr>
          <w:rFonts w:cs="Calibri" w:ascii="Calibri" w:hAnsi="Calibri" w:asciiTheme="majorHAnsi" w:cstheme="majorHAnsi" w:hAnsiTheme="majorHAnsi"/>
          <w:b/>
          <w:bCs/>
          <w:sz w:val="18"/>
        </w:rPr>
        <w:t>Les délinquants de la solidarité.</w:t>
      </w:r>
      <w:r>
        <w:rPr>
          <w:rFonts w:cs="Calibri" w:ascii="Calibri" w:hAnsi="Calibri" w:asciiTheme="majorHAnsi" w:cstheme="majorHAnsi" w:hAnsiTheme="majorHAnsi"/>
          <w:sz w:val="18"/>
        </w:rPr>
        <w:t xml:space="preserve"> Ils sont ces particuliers qui, depuis plusieurs années, </w:t>
      </w:r>
      <w:hyperlink r:id="rId5" w:tgtFrame="_blank">
        <w:r>
          <w:rPr>
            <w:rStyle w:val="Style9"/>
            <w:rFonts w:cs="Calibri" w:ascii="Calibri" w:hAnsi="Calibri" w:asciiTheme="majorHAnsi" w:cstheme="majorHAnsi" w:hAnsiTheme="majorHAnsi"/>
            <w:sz w:val="18"/>
          </w:rPr>
          <w:t>viennent en aide aux milliers de migrants</w:t>
        </w:r>
      </w:hyperlink>
      <w:r>
        <w:rPr>
          <w:rFonts w:cs="Calibri" w:ascii="Calibri" w:hAnsi="Calibri" w:asciiTheme="majorHAnsi" w:cstheme="majorHAnsi" w:hAnsiTheme="majorHAnsi"/>
          <w:sz w:val="18"/>
        </w:rPr>
        <w:t xml:space="preserve"> qui passent nos frontières. Pour ces faits, ils encourent cinq ans de prison et une amende de 30 000 euros. Parmi eux, </w:t>
      </w:r>
      <w:hyperlink r:id="rId6" w:tgtFrame="_blank">
        <w:r>
          <w:rPr>
            <w:rStyle w:val="Style9"/>
            <w:rFonts w:cs="Calibri" w:ascii="Calibri" w:hAnsi="Calibri" w:asciiTheme="majorHAnsi" w:cstheme="majorHAnsi" w:hAnsiTheme="majorHAnsi"/>
            <w:sz w:val="18"/>
          </w:rPr>
          <w:t>Martine Landry</w:t>
        </w:r>
      </w:hyperlink>
      <w:r>
        <w:rPr>
          <w:rFonts w:cs="Calibri" w:ascii="Calibri" w:hAnsi="Calibri" w:asciiTheme="majorHAnsi" w:cstheme="majorHAnsi" w:hAnsiTheme="majorHAnsi"/>
          <w:sz w:val="18"/>
        </w:rPr>
        <w:t xml:space="preserve"> d'Amnesty International ou </w:t>
      </w:r>
      <w:hyperlink r:id="rId7" w:tgtFrame="_blank">
        <w:r>
          <w:rPr>
            <w:rStyle w:val="Style9"/>
            <w:rFonts w:cs="Calibri" w:ascii="Calibri" w:hAnsi="Calibri" w:asciiTheme="majorHAnsi" w:cstheme="majorHAnsi" w:hAnsiTheme="majorHAnsi"/>
            <w:sz w:val="18"/>
          </w:rPr>
          <w:t>Cédric Herrou</w:t>
        </w:r>
      </w:hyperlink>
      <w:r>
        <w:rPr>
          <w:rFonts w:cs="Calibri" w:ascii="Calibri" w:hAnsi="Calibri" w:asciiTheme="majorHAnsi" w:cstheme="majorHAnsi" w:hAnsiTheme="majorHAnsi"/>
          <w:sz w:val="18"/>
        </w:rPr>
        <w:t xml:space="preserve">. Ce dernier, un agriculteur du sud-est de la France, a ainsi été condamné à </w:t>
      </w:r>
      <w:hyperlink r:id="rId8" w:tgtFrame="_blank">
        <w:r>
          <w:rPr>
            <w:rStyle w:val="Style9"/>
            <w:rFonts w:cs="Calibri" w:ascii="Calibri" w:hAnsi="Calibri" w:asciiTheme="majorHAnsi" w:cstheme="majorHAnsi" w:hAnsiTheme="majorHAnsi"/>
            <w:sz w:val="18"/>
          </w:rPr>
          <w:t>quatre mois de prison avec sursis</w:t>
        </w:r>
      </w:hyperlink>
      <w:r>
        <w:rPr>
          <w:rFonts w:cs="Calibri" w:ascii="Calibri" w:hAnsi="Calibri" w:asciiTheme="majorHAnsi" w:cstheme="majorHAnsi" w:hAnsiTheme="majorHAnsi"/>
          <w:sz w:val="18"/>
        </w:rPr>
        <w:t xml:space="preserve"> en 2017 : l'avocat général avait alors considéré que « l'aide à l'entrée » s'inscrivait dans une « contestation globale de la loi ».</w:t>
      </w:r>
    </w:p>
    <w:p>
      <w:pPr>
        <w:pStyle w:val="Normal"/>
        <w:numPr>
          <w:ilvl w:val="0"/>
          <w:numId w:val="0"/>
        </w:numPr>
        <w:pBdr>
          <w:top w:val="single" w:sz="4" w:space="1" w:color="000000"/>
          <w:left w:val="single" w:sz="4" w:space="4" w:color="000000"/>
          <w:bottom w:val="single" w:sz="4" w:space="1" w:color="000000"/>
          <w:right w:val="single" w:sz="4" w:space="4" w:color="000000"/>
        </w:pBdr>
        <w:ind w:hanging="0" w:left="0"/>
        <w:jc w:val="right"/>
        <w:outlineLvl w:val="0"/>
        <w:rPr>
          <w:rFonts w:ascii="Calibri Light" w:hAnsi="Calibri Light" w:cs="Calibri Light"/>
          <w:kern w:val="2"/>
          <w:sz w:val="16"/>
        </w:rPr>
      </w:pPr>
      <w:hyperlink r:id="rId9">
        <w:r>
          <w:rPr>
            <w:rStyle w:val="Hyperlink"/>
            <w:rFonts w:cs="Calibri Light" w:ascii="Calibri Light" w:hAnsi="Calibri Light"/>
            <w:kern w:val="2"/>
            <w:sz w:val="16"/>
          </w:rPr>
          <w:t>https://www.leparisien.fr/societe/extinction-rebellion-petite-histoire-de-la-desobeissance-civile-09-10-2019-8169504.php</w:t>
        </w:r>
      </w:hyperlink>
      <w:r>
        <w:rPr>
          <w:rFonts w:cs="Calibri Light" w:ascii="Calibri Light" w:hAnsi="Calibri Light"/>
          <w:kern w:val="2"/>
          <w:sz w:val="16"/>
        </w:rPr>
        <w:t xml:space="preserve"> </w:t>
      </w:r>
    </w:p>
    <w:p>
      <w:pPr>
        <w:pStyle w:val="Normal"/>
        <w:widowControl w:val="false"/>
        <w:jc w:val="both"/>
        <w:rPr>
          <w:rFonts w:ascii="Calibri" w:hAnsi="Calibri" w:cs="Calibri" w:asciiTheme="majorHAnsi" w:cstheme="majorHAnsi" w:hAnsiTheme="majorHAnsi"/>
          <w:b/>
        </w:rPr>
      </w:pPr>
      <w:r>
        <w:rPr>
          <w:rFonts w:cs="Calibri" w:cstheme="majorHAnsi" w:ascii="Calibri" w:hAnsi="Calibri"/>
          <w:b/>
        </w:rPr>
      </w:r>
    </w:p>
    <w:p>
      <w:pPr>
        <w:pStyle w:val="Normal"/>
        <w:widowControl w:val="false"/>
        <w:jc w:val="both"/>
        <w:rPr>
          <w:rFonts w:ascii="Calibri" w:hAnsi="Calibri" w:cs="Calibri" w:asciiTheme="majorHAnsi" w:cstheme="majorHAnsi" w:hAnsiTheme="majorHAnsi"/>
          <w:b/>
        </w:rPr>
      </w:pPr>
      <w:r>
        <w:rPr>
          <w:rFonts w:cs="Calibri" w:ascii="Calibri" w:hAnsi="Calibri" w:asciiTheme="majorHAnsi" w:cstheme="majorHAnsi" w:hAnsiTheme="majorHAnsi"/>
          <w:b/>
        </w:rPr>
        <w:t>Questions sur le document</w:t>
      </w:r>
    </w:p>
    <w:p>
      <w:pPr>
        <w:pStyle w:val="Normal"/>
        <w:widowControl w:val="false"/>
        <w:jc w:val="both"/>
        <w:rPr>
          <w:rFonts w:ascii="Calibri" w:hAnsi="Calibri" w:cs="Calibri" w:asciiTheme="majorHAnsi" w:cstheme="majorHAnsi" w:hAnsiTheme="majorHAnsi"/>
          <w:b/>
        </w:rPr>
      </w:pPr>
      <w:r>
        <w:rPr>
          <w:rFonts w:cs="Calibri" w:ascii="Calibri" w:hAnsi="Calibri" w:asciiTheme="majorHAnsi" w:cstheme="majorHAnsi" w:hAnsiTheme="majorHAnsi"/>
          <w:b/>
        </w:rPr>
        <w:t xml:space="preserve">Q1. </w:t>
      </w:r>
      <w:r>
        <w:rPr>
          <w:rFonts w:cs="Calibri" w:ascii="Calibri" w:hAnsi="Calibri" w:asciiTheme="majorHAnsi" w:cstheme="majorHAnsi" w:hAnsiTheme="majorHAnsi"/>
          <w:bCs/>
        </w:rPr>
        <w:t>Qu’est-ce que la désobéissance civile ?</w:t>
      </w:r>
    </w:p>
    <w:p>
      <w:pPr>
        <w:pStyle w:val="Normal"/>
        <w:widowControl w:val="false"/>
        <w:jc w:val="both"/>
        <w:rPr>
          <w:rFonts w:ascii="Calibri" w:hAnsi="Calibri" w:cs="Calibri" w:asciiTheme="majorHAnsi" w:cstheme="majorHAnsi" w:hAnsiTheme="majorHAnsi"/>
          <w:b/>
        </w:rPr>
      </w:pPr>
      <w:r>
        <w:rPr>
          <w:rFonts w:cs="Calibri" w:ascii="Calibri" w:hAnsi="Calibri" w:asciiTheme="majorHAnsi" w:cstheme="majorHAnsi" w:hAnsiTheme="majorHAnsi"/>
          <w:b/>
        </w:rPr>
        <w:t xml:space="preserve">Q2. </w:t>
      </w:r>
      <w:r>
        <w:rPr>
          <w:rFonts w:cs="Calibri" w:ascii="Calibri" w:hAnsi="Calibri" w:asciiTheme="majorHAnsi" w:cstheme="majorHAnsi" w:hAnsiTheme="majorHAnsi"/>
          <w:bCs/>
        </w:rPr>
        <w:t>Qu’ont en commun tous ces exemples ?</w:t>
      </w:r>
      <w:r>
        <w:rPr>
          <w:rFonts w:cs="Calibri" w:ascii="Calibri" w:hAnsi="Calibri" w:asciiTheme="majorHAnsi" w:cstheme="majorHAnsi" w:hAnsiTheme="majorHAnsi"/>
          <w:b/>
        </w:rPr>
        <w:t xml:space="preserve"> </w:t>
      </w:r>
    </w:p>
    <w:p>
      <w:pPr>
        <w:pStyle w:val="Normal"/>
        <w:widowControl w:val="false"/>
        <w:jc w:val="both"/>
        <w:rPr>
          <w:rFonts w:ascii="Calibri" w:hAnsi="Calibri" w:cs="Calibri" w:asciiTheme="majorHAnsi" w:cstheme="majorHAnsi" w:hAnsiTheme="majorHAnsi"/>
          <w:bCs/>
        </w:rPr>
      </w:pPr>
      <w:r>
        <w:rPr>
          <w:rFonts w:cs="Calibri" w:ascii="Calibri" w:hAnsi="Calibri" w:asciiTheme="majorHAnsi" w:cstheme="majorHAnsi" w:hAnsiTheme="majorHAnsi"/>
          <w:b/>
        </w:rPr>
        <w:t xml:space="preserve">Q3. </w:t>
      </w:r>
      <w:r>
        <w:rPr>
          <w:rFonts w:cs="Calibri" w:ascii="Calibri" w:hAnsi="Calibri" w:asciiTheme="majorHAnsi" w:cstheme="majorHAnsi" w:hAnsiTheme="majorHAnsi"/>
          <w:bCs/>
        </w:rPr>
        <w:t xml:space="preserve">Les actions de ces individus et groupes sont-elles légales ? </w:t>
      </w:r>
    </w:p>
    <w:p>
      <w:pPr>
        <w:pStyle w:val="Normal"/>
        <w:widowControl w:val="false"/>
        <w:jc w:val="both"/>
        <w:rPr>
          <w:rFonts w:ascii="Calibri" w:hAnsi="Calibri" w:cs="Calibri" w:asciiTheme="majorHAnsi" w:cstheme="majorHAnsi" w:hAnsiTheme="majorHAnsi"/>
          <w:b/>
        </w:rPr>
      </w:pPr>
      <w:r>
        <w:rPr>
          <w:rFonts w:cs="Calibri" w:ascii="Calibri" w:hAnsi="Calibri" w:asciiTheme="majorHAnsi" w:cstheme="majorHAnsi" w:hAnsiTheme="majorHAnsi"/>
          <w:b/>
        </w:rPr>
        <w:t xml:space="preserve">Q4. </w:t>
      </w:r>
      <w:r>
        <w:rPr>
          <w:rFonts w:cs="Calibri" w:ascii="Calibri" w:hAnsi="Calibri" w:asciiTheme="majorHAnsi" w:cstheme="majorHAnsi" w:hAnsiTheme="majorHAnsi"/>
          <w:bCs/>
        </w:rPr>
        <w:t>Les actions de ces individus et groupes sont-elles légitimes ?</w:t>
      </w:r>
      <w:r>
        <w:rPr>
          <w:rFonts w:cs="Calibri" w:ascii="Calibri" w:hAnsi="Calibri" w:asciiTheme="majorHAnsi" w:cstheme="majorHAnsi" w:hAnsiTheme="majorHAnsi"/>
          <w:b/>
        </w:rPr>
        <w:t xml:space="preserve"> </w:t>
      </w:r>
    </w:p>
    <w:p>
      <w:pPr>
        <w:pStyle w:val="Normal"/>
        <w:widowControl w:val="false"/>
        <w:jc w:val="both"/>
        <w:rPr>
          <w:rFonts w:ascii="Calibri" w:hAnsi="Calibri" w:cs="Calibri" w:asciiTheme="majorHAnsi" w:cstheme="majorHAnsi" w:hAnsiTheme="majorHAnsi"/>
          <w:bCs/>
        </w:rPr>
      </w:pPr>
      <w:r>
        <w:rPr>
          <w:rFonts w:cs="Calibri" w:ascii="Calibri" w:hAnsi="Calibri" w:asciiTheme="majorHAnsi" w:cstheme="majorHAnsi" w:hAnsiTheme="majorHAnsi"/>
          <w:b/>
        </w:rPr>
        <w:t xml:space="preserve">Q5. </w:t>
      </w:r>
      <w:r>
        <w:rPr>
          <w:rFonts w:cs="Calibri" w:ascii="Calibri" w:hAnsi="Calibri" w:asciiTheme="majorHAnsi" w:cstheme="majorHAnsi" w:hAnsiTheme="majorHAnsi"/>
          <w:bCs/>
        </w:rPr>
        <w:t>Déduisez des réponses aux questions 3 et 4 quelles sont les deux sources de légitimité des règles de droit.</w:t>
      </w:r>
    </w:p>
    <w:p>
      <w:pPr>
        <w:pStyle w:val="Normal"/>
        <w:widowControl w:val="false"/>
        <w:jc w:val="both"/>
        <w:rPr>
          <w:rFonts w:ascii="Calibri" w:hAnsi="Calibri" w:cs="Calibri" w:asciiTheme="majorHAnsi" w:cstheme="majorHAnsi" w:hAnsiTheme="majorHAnsi"/>
          <w:bCs/>
        </w:rPr>
      </w:pPr>
      <w:r>
        <w:rPr>
          <w:rFonts w:cs="Calibri" w:cstheme="majorHAnsi" w:ascii="Calibri" w:hAnsi="Calibri"/>
          <w:bCs/>
        </w:rPr>
      </w:r>
    </w:p>
    <w:p>
      <w:pPr>
        <w:pStyle w:val="Normal"/>
        <w:widowControl w:val="false"/>
        <w:shd w:val="clear" w:color="auto" w:fill="FDE9D9" w:themeFill="accent6" w:themeFillTint="33"/>
        <w:jc w:val="center"/>
        <w:rPr>
          <w:rFonts w:ascii="Calibri" w:hAnsi="Calibri" w:cs="Calibri" w:asciiTheme="majorHAnsi" w:cstheme="majorHAnsi" w:hAnsiTheme="majorHAnsi"/>
          <w:b/>
          <w:bCs/>
          <w:color w:val="1A1718"/>
          <w:sz w:val="22"/>
          <w:szCs w:val="22"/>
        </w:rPr>
      </w:pPr>
      <w:r>
        <w:rPr>
          <w:rFonts w:cs="Calibri" w:ascii="Calibri" w:hAnsi="Calibri" w:asciiTheme="majorHAnsi" w:cstheme="majorHAnsi" w:hAnsiTheme="majorHAnsi"/>
          <w:b/>
          <w:bCs/>
          <w:color w:val="1A1718"/>
          <w:sz w:val="22"/>
          <w:szCs w:val="22"/>
        </w:rPr>
        <w:t>Faire l’exercice de synthèse en ligne</w:t>
      </w:r>
      <w:r>
        <w:rPr>
          <w:rFonts w:cs="Calibri" w:ascii="Calibri" w:hAnsi="Calibri" w:asciiTheme="majorHAnsi" w:cstheme="majorHAnsi" w:hAnsiTheme="majorHAnsi"/>
          <w:color w:val="1A1718"/>
          <w:sz w:val="22"/>
          <w:szCs w:val="22"/>
        </w:rPr>
        <w:t xml:space="preserve"> : </w:t>
      </w:r>
      <w:hyperlink r:id="rId10">
        <w:r>
          <w:rPr>
            <w:rStyle w:val="Hyperlink"/>
            <w:rFonts w:cs="Calibri" w:ascii="Calibri" w:hAnsi="Calibri" w:asciiTheme="majorHAnsi" w:cstheme="majorHAnsi" w:hAnsiTheme="majorHAnsi"/>
            <w:b/>
            <w:bCs/>
            <w:sz w:val="22"/>
            <w:szCs w:val="22"/>
          </w:rPr>
          <w:t>https://learningapps.org/watch?v=pvh6yr93c23</w:t>
        </w:r>
      </w:hyperlink>
    </w:p>
    <w:p>
      <w:pPr>
        <w:pStyle w:val="Normal"/>
        <w:widowControl w:val="false"/>
        <w:shd w:val="clear" w:color="auto" w:fill="FDE9D9" w:themeFill="accent6" w:themeFillTint="33"/>
        <w:jc w:val="center"/>
        <w:rPr>
          <w:rFonts w:ascii="Calibri" w:hAnsi="Calibri" w:cs="Calibri" w:asciiTheme="majorHAnsi" w:cstheme="majorHAnsi" w:hAnsiTheme="majorHAnsi"/>
          <w:color w:val="1A1718"/>
          <w:sz w:val="22"/>
          <w:szCs w:val="22"/>
        </w:rPr>
      </w:pPr>
      <w:r>
        <w:rPr>
          <w:rFonts w:cs="Calibri" w:cstheme="majorHAnsi" w:ascii="Calibri" w:hAnsi="Calibri"/>
          <w:color w:val="1A1718"/>
          <w:sz w:val="22"/>
          <w:szCs w:val="22"/>
        </w:rPr>
      </w:r>
    </w:p>
    <w:p>
      <w:pPr>
        <w:pStyle w:val="Normal"/>
        <w:widowControl w:val="false"/>
        <w:shd w:val="clear" w:color="auto" w:fill="FDE9D9" w:themeFill="accent6" w:themeFillTint="33"/>
        <w:jc w:val="center"/>
        <w:rPr>
          <w:rFonts w:ascii="Calibri" w:hAnsi="Calibri" w:cs="Calibri" w:asciiTheme="majorHAnsi" w:cstheme="majorHAnsi" w:hAnsiTheme="majorHAnsi"/>
          <w:color w:val="1A1718"/>
        </w:rPr>
      </w:pPr>
      <w:r>
        <w:rPr>
          <w:rFonts w:cs="Calibri" w:ascii="Calibri" w:hAnsi="Calibri" w:asciiTheme="majorHAnsi" w:cstheme="majorHAnsi" w:hAnsiTheme="majorHAnsi"/>
          <w:color w:val="1A1718"/>
        </w:rPr>
        <w:t>Texte à compléter avec les termes suivants :</w:t>
      </w:r>
    </w:p>
    <w:p>
      <w:pPr>
        <w:pStyle w:val="Normal"/>
        <w:widowControl w:val="false"/>
        <w:shd w:val="clear" w:color="auto" w:fill="FDE9D9" w:themeFill="accent6" w:themeFillTint="33"/>
        <w:jc w:val="center"/>
        <w:rPr>
          <w:rFonts w:ascii="Calibri" w:hAnsi="Calibri" w:cs="Calibri" w:asciiTheme="majorHAnsi" w:cstheme="majorHAnsi" w:hAnsiTheme="majorHAnsi"/>
          <w:i/>
          <w:i/>
          <w:iCs/>
          <w:color w:val="1A1718"/>
        </w:rPr>
      </w:pPr>
      <w:r>
        <w:rPr>
          <w:rFonts w:cs="Calibri" w:ascii="Calibri" w:hAnsi="Calibri" w:asciiTheme="majorHAnsi" w:cstheme="majorHAnsi" w:hAnsiTheme="majorHAnsi"/>
          <w:i/>
          <w:iCs/>
          <w:color w:val="1A1718"/>
        </w:rPr>
        <w:t>· juste · injuste · légalité · légitime (2 fois) ·</w:t>
      </w:r>
    </w:p>
    <w:p>
      <w:pPr>
        <w:pStyle w:val="Normal"/>
        <w:widowControl w:val="false"/>
        <w:shd w:val="clear" w:color="auto" w:fill="FDE9D9" w:themeFill="accent6" w:themeFillTint="33"/>
        <w:jc w:val="center"/>
        <w:rPr>
          <w:rFonts w:ascii="Calibri" w:hAnsi="Calibri" w:cs="Calibri" w:asciiTheme="majorHAnsi" w:cstheme="majorHAnsi" w:hAnsiTheme="majorHAnsi"/>
          <w:color w:val="1A1718"/>
          <w:sz w:val="22"/>
          <w:szCs w:val="22"/>
        </w:rPr>
      </w:pPr>
      <w:r>
        <w:rPr>
          <w:rFonts w:cs="Calibri" w:cstheme="majorHAnsi" w:ascii="Calibri" w:hAnsi="Calibri"/>
          <w:color w:val="1A1718"/>
          <w:sz w:val="22"/>
          <w:szCs w:val="22"/>
        </w:rPr>
      </w:r>
    </w:p>
    <w:p>
      <w:pPr>
        <w:pStyle w:val="Normal"/>
        <w:widowControl w:val="false"/>
        <w:shd w:val="clear" w:color="auto" w:fill="FDE9D9" w:themeFill="accent6" w:themeFillTint="33"/>
        <w:jc w:val="both"/>
        <w:rPr>
          <w:rFonts w:ascii="Calibri" w:hAnsi="Calibri" w:cs="Calibri" w:asciiTheme="majorHAnsi" w:cstheme="majorHAnsi" w:hAnsiTheme="majorHAnsi"/>
          <w:color w:val="1A1718"/>
        </w:rPr>
      </w:pPr>
      <w:r>
        <w:rPr>
          <w:rFonts w:cs="Calibri" w:ascii="Calibri" w:hAnsi="Calibri" w:asciiTheme="majorHAnsi" w:cstheme="majorHAnsi" w:hAnsiTheme="majorHAnsi"/>
          <w:color w:val="E8301C"/>
        </w:rPr>
        <w:t xml:space="preserve">● </w:t>
      </w:r>
      <w:r>
        <w:rPr>
          <w:rFonts w:cs="Calibri" w:ascii="Calibri" w:hAnsi="Calibri" w:asciiTheme="majorHAnsi" w:cstheme="majorHAnsi" w:hAnsiTheme="majorHAnsi"/>
          <w:color w:val="1A1718"/>
        </w:rPr>
        <w:t>Le droit est reconnu comme un moyen</w:t>
      </w:r>
      <w:r>
        <w:rPr>
          <w:rFonts w:cs="Calibri" w:ascii="Calibri" w:hAnsi="Calibri" w:asciiTheme="majorHAnsi" w:cstheme="majorHAnsi" w:hAnsiTheme="majorHAnsi"/>
          <w:b/>
          <w:bCs/>
          <w:color w:val="1A1718"/>
        </w:rPr>
        <w:t xml:space="preserve"> </w:t>
      </w:r>
      <w:r>
        <w:rPr>
          <w:rFonts w:cs="Calibri" w:ascii="Calibri" w:hAnsi="Calibri" w:asciiTheme="majorHAnsi" w:cstheme="majorHAnsi" w:hAnsiTheme="majorHAnsi"/>
          <w:color w:val="1A1718"/>
        </w:rPr>
        <w:t>………………………………..</w:t>
      </w:r>
      <w:r>
        <w:rPr>
          <w:rFonts w:cs="Calibri" w:ascii="Calibri" w:hAnsi="Calibri" w:asciiTheme="majorHAnsi" w:cstheme="majorHAnsi" w:hAnsiTheme="majorHAnsi"/>
          <w:b/>
          <w:bCs/>
          <w:color w:val="1A1718"/>
        </w:rPr>
        <w:t xml:space="preserve"> </w:t>
      </w:r>
      <w:r>
        <w:rPr>
          <w:rFonts w:cs="Calibri" w:ascii="Calibri" w:hAnsi="Calibri" w:asciiTheme="majorHAnsi" w:cstheme="majorHAnsi" w:hAnsiTheme="majorHAnsi"/>
          <w:color w:val="1A1718"/>
        </w:rPr>
        <w:t xml:space="preserve">pour fixer les règles à suivre pour les personnes qui vivent dans une même société. </w:t>
      </w:r>
    </w:p>
    <w:p>
      <w:pPr>
        <w:pStyle w:val="Normal"/>
        <w:widowControl w:val="false"/>
        <w:shd w:val="clear" w:color="auto" w:fill="FDE9D9" w:themeFill="accent6" w:themeFillTint="33"/>
        <w:jc w:val="both"/>
        <w:rPr>
          <w:rFonts w:ascii="Calibri" w:hAnsi="Calibri" w:cs="Calibri" w:asciiTheme="majorHAnsi" w:cstheme="majorHAnsi" w:hAnsiTheme="majorHAnsi"/>
        </w:rPr>
      </w:pPr>
      <w:r>
        <w:rPr>
          <w:rFonts w:cs="Calibri" w:ascii="Calibri" w:hAnsi="Calibri" w:asciiTheme="majorHAnsi" w:cstheme="majorHAnsi" w:hAnsiTheme="majorHAnsi"/>
          <w:color w:val="E8301C"/>
        </w:rPr>
        <w:t xml:space="preserve">● </w:t>
      </w:r>
      <w:r>
        <w:rPr>
          <w:rFonts w:cs="Calibri" w:ascii="Calibri" w:hAnsi="Calibri" w:asciiTheme="majorHAnsi" w:cstheme="majorHAnsi" w:hAnsiTheme="majorHAnsi"/>
        </w:rPr>
        <w:t xml:space="preserve">La </w:t>
      </w:r>
      <w:r>
        <w:rPr>
          <w:rFonts w:cs="Calibri" w:ascii="Calibri" w:hAnsi="Calibri" w:asciiTheme="majorHAnsi" w:cstheme="majorHAnsi" w:hAnsiTheme="majorHAnsi"/>
          <w:bCs/>
        </w:rPr>
        <w:t>légitimité</w:t>
      </w:r>
      <w:r>
        <w:rPr>
          <w:rFonts w:cs="Calibri" w:ascii="Calibri" w:hAnsi="Calibri" w:asciiTheme="majorHAnsi" w:cstheme="majorHAnsi" w:hAnsiTheme="majorHAnsi"/>
        </w:rPr>
        <w:t xml:space="preserve"> des règles de droit provient d’une part de leur caractère </w:t>
      </w:r>
      <w:r>
        <w:rPr>
          <w:rFonts w:cs="Calibri" w:ascii="Calibri" w:hAnsi="Calibri" w:asciiTheme="majorHAnsi" w:cstheme="majorHAnsi" w:hAnsiTheme="majorHAnsi"/>
          <w:color w:val="1A1718"/>
        </w:rPr>
        <w:t>………………………………..</w:t>
      </w:r>
      <w:r>
        <w:rPr>
          <w:rFonts w:cs="Calibri" w:ascii="Calibri" w:hAnsi="Calibri" w:asciiTheme="majorHAnsi" w:cstheme="majorHAnsi" w:hAnsiTheme="majorHAnsi"/>
          <w:b/>
          <w:bCs/>
          <w:color w:val="1A1718"/>
        </w:rPr>
        <w:t xml:space="preserve"> </w:t>
      </w:r>
      <w:r>
        <w:rPr>
          <w:rFonts w:cs="Calibri" w:ascii="Calibri" w:hAnsi="Calibri" w:asciiTheme="majorHAnsi" w:cstheme="majorHAnsi" w:hAnsiTheme="majorHAnsi"/>
        </w:rPr>
        <w:t xml:space="preserve">/ justifié, d’autre part de leur </w:t>
      </w:r>
      <w:r>
        <w:rPr>
          <w:rFonts w:cs="Calibri" w:ascii="Calibri" w:hAnsi="Calibri" w:asciiTheme="majorHAnsi" w:cstheme="majorHAnsi" w:hAnsiTheme="majorHAnsi"/>
          <w:color w:val="1A1718"/>
        </w:rPr>
        <w:t>………………………………..</w:t>
      </w:r>
      <w:r>
        <w:rPr>
          <w:rFonts w:cs="Calibri" w:ascii="Calibri" w:hAnsi="Calibri" w:asciiTheme="majorHAnsi" w:cstheme="majorHAnsi" w:hAnsiTheme="majorHAnsi"/>
        </w:rPr>
        <w:t>.</w:t>
      </w:r>
    </w:p>
    <w:p>
      <w:pPr>
        <w:pStyle w:val="Normal"/>
        <w:widowControl w:val="false"/>
        <w:shd w:val="clear" w:color="auto" w:fill="FDE9D9" w:themeFill="accent6" w:themeFillTint="33"/>
        <w:jc w:val="both"/>
        <w:rPr>
          <w:rFonts w:ascii="Calibri" w:hAnsi="Calibri" w:cs="Calibri" w:asciiTheme="majorHAnsi" w:cstheme="majorHAnsi" w:hAnsiTheme="majorHAnsi"/>
        </w:rPr>
      </w:pPr>
      <w:r>
        <w:rPr>
          <w:rFonts w:cs="Calibri" w:ascii="Calibri" w:hAnsi="Calibri" w:asciiTheme="majorHAnsi" w:cstheme="majorHAnsi" w:hAnsiTheme="majorHAnsi"/>
          <w:color w:val="E8301C"/>
        </w:rPr>
        <w:t xml:space="preserve">● </w:t>
      </w:r>
      <w:r>
        <w:rPr>
          <w:rFonts w:cs="Calibri" w:ascii="Calibri" w:hAnsi="Calibri" w:asciiTheme="majorHAnsi" w:cstheme="majorHAnsi" w:hAnsiTheme="majorHAnsi"/>
        </w:rPr>
        <w:t xml:space="preserve">L’exemple des mouvements prônant la </w:t>
      </w:r>
      <w:r>
        <w:rPr>
          <w:rFonts w:cs="Calibri" w:ascii="Calibri" w:hAnsi="Calibri" w:asciiTheme="majorHAnsi" w:cstheme="majorHAnsi" w:hAnsiTheme="majorHAnsi"/>
          <w:bCs/>
        </w:rPr>
        <w:t>désobéissance civile</w:t>
      </w:r>
      <w:r>
        <w:rPr>
          <w:rFonts w:cs="Calibri" w:ascii="Calibri" w:hAnsi="Calibri" w:asciiTheme="majorHAnsi" w:cstheme="majorHAnsi" w:hAnsiTheme="majorHAnsi"/>
        </w:rPr>
        <w:t xml:space="preserve"> montre que certains peuvent considérer qu’une loi est </w:t>
      </w:r>
      <w:r>
        <w:rPr>
          <w:rFonts w:cs="Calibri" w:ascii="Calibri" w:hAnsi="Calibri" w:asciiTheme="majorHAnsi" w:cstheme="majorHAnsi" w:hAnsiTheme="majorHAnsi"/>
          <w:color w:val="1A1718"/>
        </w:rPr>
        <w:t>………………………………..</w:t>
      </w:r>
      <w:r>
        <w:rPr>
          <w:rFonts w:cs="Calibri" w:ascii="Calibri" w:hAnsi="Calibri" w:asciiTheme="majorHAnsi" w:cstheme="majorHAnsi" w:hAnsiTheme="majorHAnsi"/>
          <w:b/>
          <w:bCs/>
          <w:color w:val="1A1718"/>
        </w:rPr>
        <w:t xml:space="preserve"> </w:t>
      </w:r>
      <w:r>
        <w:rPr>
          <w:rFonts w:cs="Calibri" w:ascii="Calibri" w:hAnsi="Calibri" w:asciiTheme="majorHAnsi" w:cstheme="majorHAnsi" w:hAnsiTheme="majorHAnsi"/>
        </w:rPr>
        <w:t xml:space="preserve">alors qu’elle apparaît à d’autres comme étant </w:t>
      </w:r>
      <w:r>
        <w:rPr>
          <w:rFonts w:cs="Calibri" w:ascii="Calibri" w:hAnsi="Calibri" w:asciiTheme="majorHAnsi" w:cstheme="majorHAnsi" w:hAnsiTheme="majorHAnsi"/>
          <w:color w:val="1A1718"/>
        </w:rPr>
        <w:t>………………………………..</w:t>
      </w:r>
      <w:r>
        <w:rPr>
          <w:rFonts w:cs="Calibri" w:ascii="Calibri" w:hAnsi="Calibri" w:asciiTheme="majorHAnsi" w:cstheme="majorHAnsi" w:hAnsiTheme="majorHAnsi"/>
        </w:rPr>
        <w:t>, puisqu’ayant été votée par le Parlement, représentant le peuple.</w:t>
      </w:r>
    </w:p>
    <w:sectPr>
      <w:headerReference w:type="even" r:id="rId11"/>
      <w:headerReference w:type="default" r:id="rId12"/>
      <w:headerReference w:type="first" r:id="rId13"/>
      <w:type w:val="nextPage"/>
      <w:pgSz w:w="11906" w:h="16838"/>
      <w:pgMar w:left="426" w:right="418" w:gutter="0" w:header="284" w:top="685" w:footer="0" w:bottom="28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ucida Grande">
    <w:charset w:val="00"/>
    <w:family w:val="swiss"/>
    <w:pitch w:val="variable"/>
  </w:font>
  <w:font w:name="Liberation Sans">
    <w:altName w:val="Arial"/>
    <w:charset w:val="00"/>
    <w:family w:val="swiss"/>
    <w:pitch w:val="variable"/>
  </w:font>
  <w:font w:name="Calibri">
    <w:charset w:val="00"/>
    <w:family w:val="roman"/>
    <w:pitch w:val="variable"/>
  </w:font>
  <w:font w:name="Calibri Light">
    <w:charset w:val="00"/>
    <w:family w:val="swiss"/>
    <w:pitch w:val="variable"/>
  </w:font>
  <w:font w:name="Arial Narrow">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mc:AlternateContent>
        <mc:Choice Requires="wps">
          <w:drawing>
            <wp:anchor behindDoc="1" distT="0" distB="0" distL="0" distR="0" simplePos="0" locked="0" layoutInCell="0" allowOverlap="1" relativeHeight="5">
              <wp:simplePos x="0" y="0"/>
              <wp:positionH relativeFrom="margin">
                <wp:align>right</wp:align>
              </wp:positionH>
              <wp:positionV relativeFrom="paragraph">
                <wp:posOffset>635</wp:posOffset>
              </wp:positionV>
              <wp:extent cx="14605" cy="14605"/>
              <wp:effectExtent l="0" t="0" r="0" b="0"/>
              <wp:wrapSquare wrapText="bothSides"/>
              <wp:docPr id="1" name="Cadr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Cadre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rFonts w:ascii="Arial Narrow" w:hAnsi="Arial Narrow"/>
        <w:i/>
        <w:i/>
        <w:sz w:val="18"/>
      </w:rPr>
    </w:pPr>
    <w:r>
      <w:rPr>
        <w:rFonts w:ascii="Arial Narrow" w:hAnsi="Arial Narrow"/>
        <w:i/>
        <w:sz w:val="18"/>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21285"/>
              <wp:effectExtent l="0" t="0" r="0" b="0"/>
              <wp:wrapSquare wrapText="bothSides"/>
              <wp:docPr id="2" name="Cadre2"/>
              <a:graphic xmlns:a="http://schemas.openxmlformats.org/drawingml/2006/main">
                <a:graphicData uri="http://schemas.microsoft.com/office/word/2010/wordprocessingShape">
                  <wps:wsp>
                    <wps:cNvSpPr/>
                    <wps:spPr>
                      <a:xfrm>
                        <a:off x="0" y="0"/>
                        <a:ext cx="14760" cy="121320"/>
                      </a:xfrm>
                      <a:prstGeom prst="rect">
                        <a:avLst/>
                      </a:prstGeom>
                      <a:noFill/>
                      <a:ln w="0">
                        <a:noFill/>
                      </a:ln>
                    </wps:spPr>
                    <wps:style>
                      <a:lnRef idx="0"/>
                      <a:fillRef idx="0"/>
                      <a:effectRef idx="0"/>
                      <a:fontRef idx="minor"/>
                    </wps:style>
                    <wps:txbx>
                      <w:txbxContent>
                        <w:p>
                          <w:pPr>
                            <w:pStyle w:val="Header"/>
                            <w:rPr>
                              <w:rStyle w:val="PageNumber"/>
                              <w:rFonts w:ascii="Arial Narrow" w:hAnsi="Arial Narrow" w:cs="Arial"/>
                              <w:sz w:val="18"/>
                            </w:rPr>
                          </w:pPr>
                          <w:r>
                            <w:rPr>
                              <w:rFonts w:cs="Arial" w:ascii="Arial Narrow" w:hAnsi="Arial Narrow"/>
                              <w:sz w:val="18"/>
                            </w:rPr>
                          </w:r>
                        </w:p>
                      </w:txbxContent>
                    </wps:txbx>
                    <wps:bodyPr lIns="0" rIns="0" tIns="0" bIns="0" anchor="t">
                      <a:spAutoFit/>
                    </wps:bodyPr>
                  </wps:wsp>
                </a:graphicData>
              </a:graphic>
            </wp:anchor>
          </w:drawing>
        </mc:Choice>
        <mc:Fallback>
          <w:pict>
            <v:rect id="shape_0" ID="Cadre2" path="m0,0l-2147483645,0l-2147483645,-2147483646l0,-2147483646xe" fillcolor="white" stroked="f" o:allowincell="f" style="position:absolute;margin-left:551.85pt;margin-top:0.05pt;width:1.1pt;height:9.5pt;mso-wrap-style:none;v-text-anchor:middle;mso-position-horizontal:right;mso-position-horizontal-relative:margin">
              <v:fill o:detectmouseclick="t" type="solid" color2="black" opacity="0"/>
              <v:stroke color="#3465a4" joinstyle="round" endcap="flat"/>
              <v:textbox>
                <w:txbxContent>
                  <w:p>
                    <w:pPr>
                      <w:pStyle w:val="Header"/>
                      <w:rPr>
                        <w:rStyle w:val="PageNumber"/>
                        <w:rFonts w:ascii="Arial Narrow" w:hAnsi="Arial Narrow" w:cs="Arial"/>
                        <w:sz w:val="18"/>
                      </w:rPr>
                    </w:pPr>
                    <w:r>
                      <w:rPr>
                        <w:rFonts w:cs="Arial" w:ascii="Arial Narrow" w:hAnsi="Arial Narrow"/>
                        <w:sz w:val="18"/>
                      </w:rPr>
                    </w:r>
                  </w:p>
                </w:txbxContent>
              </v:textbox>
              <w10:wrap type="square"/>
            </v:rect>
          </w:pict>
        </mc:Fallback>
      </mc:AlternateContent>
    </w:r>
    <w:r>
      <w:rPr>
        <w:rFonts w:ascii="Arial Narrow" w:hAnsi="Arial Narrow"/>
        <w:i/>
        <w:sz w:val="18"/>
      </w:rPr>
      <w:t>DGEMC – Introduction – Découvrons le droit – Activité sur la désobéissance civile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rFonts w:ascii="Arial Narrow" w:hAnsi="Arial Narrow"/>
        <w:i/>
        <w:i/>
        <w:sz w:val="18"/>
      </w:rPr>
    </w:pPr>
    <w:r>
      <w:rPr>
        <w:rFonts w:ascii="Arial Narrow" w:hAnsi="Arial Narrow"/>
        <w:i/>
        <w:sz w:val="18"/>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21285"/>
              <wp:effectExtent l="0" t="0" r="0" b="0"/>
              <wp:wrapSquare wrapText="bothSides"/>
              <wp:docPr id="3" name="Cadre2"/>
              <a:graphic xmlns:a="http://schemas.openxmlformats.org/drawingml/2006/main">
                <a:graphicData uri="http://schemas.microsoft.com/office/word/2010/wordprocessingShape">
                  <wps:wsp>
                    <wps:cNvSpPr/>
                    <wps:spPr>
                      <a:xfrm>
                        <a:off x="0" y="0"/>
                        <a:ext cx="14760" cy="121320"/>
                      </a:xfrm>
                      <a:prstGeom prst="rect">
                        <a:avLst/>
                      </a:prstGeom>
                      <a:noFill/>
                      <a:ln w="0">
                        <a:noFill/>
                      </a:ln>
                    </wps:spPr>
                    <wps:style>
                      <a:lnRef idx="0"/>
                      <a:fillRef idx="0"/>
                      <a:effectRef idx="0"/>
                      <a:fontRef idx="minor"/>
                    </wps:style>
                    <wps:txbx>
                      <w:txbxContent>
                        <w:p>
                          <w:pPr>
                            <w:pStyle w:val="Header"/>
                            <w:rPr>
                              <w:rStyle w:val="PageNumber"/>
                              <w:rFonts w:ascii="Arial Narrow" w:hAnsi="Arial Narrow" w:cs="Arial"/>
                              <w:sz w:val="18"/>
                            </w:rPr>
                          </w:pPr>
                          <w:r>
                            <w:rPr>
                              <w:rFonts w:cs="Arial" w:ascii="Arial Narrow" w:hAnsi="Arial Narrow"/>
                              <w:sz w:val="18"/>
                            </w:rPr>
                          </w:r>
                        </w:p>
                      </w:txbxContent>
                    </wps:txbx>
                    <wps:bodyPr lIns="0" rIns="0" tIns="0" bIns="0" anchor="t">
                      <a:spAutoFit/>
                    </wps:bodyPr>
                  </wps:wsp>
                </a:graphicData>
              </a:graphic>
            </wp:anchor>
          </w:drawing>
        </mc:Choice>
        <mc:Fallback>
          <w:pict>
            <v:rect id="shape_0" ID="Cadre2" path="m0,0l-2147483645,0l-2147483645,-2147483646l0,-2147483646xe" fillcolor="white" stroked="f" o:allowincell="f" style="position:absolute;margin-left:551.85pt;margin-top:0.05pt;width:1.1pt;height:9.5pt;mso-wrap-style:none;v-text-anchor:middle;mso-position-horizontal:right;mso-position-horizontal-relative:margin">
              <v:fill o:detectmouseclick="t" type="solid" color2="black" opacity="0"/>
              <v:stroke color="#3465a4" joinstyle="round" endcap="flat"/>
              <v:textbox>
                <w:txbxContent>
                  <w:p>
                    <w:pPr>
                      <w:pStyle w:val="Header"/>
                      <w:rPr>
                        <w:rStyle w:val="PageNumber"/>
                        <w:rFonts w:ascii="Arial Narrow" w:hAnsi="Arial Narrow" w:cs="Arial"/>
                        <w:sz w:val="18"/>
                      </w:rPr>
                    </w:pPr>
                    <w:r>
                      <w:rPr>
                        <w:rFonts w:cs="Arial" w:ascii="Arial Narrow" w:hAnsi="Arial Narrow"/>
                        <w:sz w:val="18"/>
                      </w:rPr>
                    </w:r>
                  </w:p>
                </w:txbxContent>
              </v:textbox>
              <w10:wrap type="square"/>
            </v:rect>
          </w:pict>
        </mc:Fallback>
      </mc:AlternateContent>
    </w:r>
    <w:r>
      <w:rPr>
        <w:rFonts w:ascii="Arial Narrow" w:hAnsi="Arial Narrow"/>
        <w:i/>
        <w:sz w:val="18"/>
      </w:rPr>
      <w:t>DGEMC – Introduction – Découvrons le droit – Activité sur la désobéissance civile</w:t>
    </w:r>
  </w:p>
</w:hdr>
</file>

<file path=word/settings.xml><?xml version="1.0" encoding="utf-8"?>
<w:settings xmlns:w="http://schemas.openxmlformats.org/wordprocessingml/2006/main">
  <w:zoom w:percent="236"/>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 w:cs="Arial" w:eastAsiaTheme="minorEastAsia"/>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fr-FR" w:eastAsia="ja-JP"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af2ef1"/>
    <w:rPr>
      <w:rFonts w:ascii="Times New Roman" w:hAnsi="Times New Roman" w:eastAsia="Times New Roman" w:cs="Times New Roman"/>
    </w:rPr>
  </w:style>
  <w:style w:type="character" w:styleId="PieddepageCar" w:customStyle="1">
    <w:name w:val="Pied de page Car"/>
    <w:basedOn w:val="DefaultParagraphFont"/>
    <w:uiPriority w:val="99"/>
    <w:qFormat/>
    <w:rsid w:val="00af2ef1"/>
    <w:rPr>
      <w:rFonts w:ascii="Times New Roman" w:hAnsi="Times New Roman" w:eastAsia="Times New Roman" w:cs="Times New Roman"/>
    </w:rPr>
  </w:style>
  <w:style w:type="character" w:styleId="CorpsdetexteCar" w:customStyle="1">
    <w:name w:val="Corps de texte Car"/>
    <w:basedOn w:val="DefaultParagraphFont"/>
    <w:uiPriority w:val="1"/>
    <w:qFormat/>
    <w:rsid w:val="00af2ef1"/>
    <w:rPr>
      <w:rFonts w:eastAsia="Arial"/>
      <w:sz w:val="22"/>
      <w:szCs w:val="22"/>
      <w:lang w:eastAsia="fr-FR" w:bidi="fr-FR"/>
    </w:rPr>
  </w:style>
  <w:style w:type="character" w:styleId="Hyperlink">
    <w:name w:val="Hyperlink"/>
    <w:uiPriority w:val="99"/>
    <w:unhideWhenUsed/>
    <w:rsid w:val="0068751d"/>
    <w:rPr>
      <w:color w:val="0000FF"/>
      <w:u w:val="single"/>
    </w:rPr>
  </w:style>
  <w:style w:type="character" w:styleId="TextedebullesCar" w:customStyle="1">
    <w:name w:val="Texte de bulles Car"/>
    <w:basedOn w:val="DefaultParagraphFont"/>
    <w:link w:val="BalloonText"/>
    <w:uiPriority w:val="99"/>
    <w:semiHidden/>
    <w:qFormat/>
    <w:rsid w:val="0068751d"/>
    <w:rPr>
      <w:rFonts w:ascii="Lucida Grande" w:hAnsi="Lucida Grande" w:eastAsia="Times New Roman" w:cs="Lucida Grande"/>
      <w:sz w:val="18"/>
      <w:szCs w:val="18"/>
    </w:rPr>
  </w:style>
  <w:style w:type="character" w:styleId="PageNumber">
    <w:name w:val="page number"/>
    <w:basedOn w:val="DefaultParagraphFont"/>
    <w:uiPriority w:val="99"/>
    <w:semiHidden/>
    <w:unhideWhenUsed/>
    <w:rsid w:val="0068751d"/>
    <w:rPr/>
  </w:style>
  <w:style w:type="character" w:styleId="Strong">
    <w:name w:val="Strong"/>
    <w:basedOn w:val="DefaultParagraphFont"/>
    <w:uiPriority w:val="22"/>
    <w:qFormat/>
    <w:rsid w:val="006232d1"/>
    <w:rPr>
      <w:b/>
      <w:bCs/>
    </w:rPr>
  </w:style>
  <w:style w:type="character" w:styleId="Emphasis">
    <w:name w:val="Emphasis"/>
    <w:basedOn w:val="DefaultParagraphFont"/>
    <w:uiPriority w:val="20"/>
    <w:qFormat/>
    <w:rsid w:val="006232d1"/>
    <w:rPr>
      <w:i/>
      <w:iCs/>
    </w:rPr>
  </w:style>
  <w:style w:type="character" w:styleId="FollowedHyperlink">
    <w:name w:val="FollowedHyperlink"/>
    <w:basedOn w:val="DefaultParagraphFont"/>
    <w:uiPriority w:val="99"/>
    <w:semiHidden/>
    <w:unhideWhenUsed/>
    <w:rsid w:val="00e1595a"/>
    <w:rPr>
      <w:color w:themeColor="followedHyperlink" w:val="800080"/>
      <w:u w:val="single"/>
    </w:rPr>
  </w:style>
  <w:style w:type="character" w:styleId="clearfix" w:customStyle="1">
    <w:name w:val="clearfix"/>
    <w:basedOn w:val="DefaultParagraphFont"/>
    <w:qFormat/>
    <w:rsid w:val="00b07c78"/>
    <w:rPr/>
  </w:style>
  <w:style w:type="character" w:styleId="field" w:customStyle="1">
    <w:name w:val="field"/>
    <w:basedOn w:val="DefaultParagraphFont"/>
    <w:qFormat/>
    <w:rsid w:val="00341070"/>
    <w:rPr/>
  </w:style>
  <w:style w:type="character" w:styleId="hgkelc" w:customStyle="1">
    <w:name w:val="hgkelc"/>
    <w:basedOn w:val="DefaultParagraphFont"/>
    <w:qFormat/>
    <w:rsid w:val="003f31e4"/>
    <w:rPr/>
  </w:style>
  <w:style w:type="character" w:styleId="UnresolvedMention">
    <w:name w:val="Unresolved Mention"/>
    <w:basedOn w:val="DefaultParagraphFont"/>
    <w:uiPriority w:val="99"/>
    <w:semiHidden/>
    <w:unhideWhenUsed/>
    <w:qFormat/>
    <w:rsid w:val="008b574c"/>
    <w:rPr>
      <w:color w:val="605E5C"/>
      <w:shd w:fill="E1DFDD" w:val="clear"/>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sdetexteCar"/>
    <w:uiPriority w:val="1"/>
    <w:qFormat/>
    <w:rsid w:val="00af2ef1"/>
    <w:pPr>
      <w:widowControl w:val="false"/>
      <w:spacing w:before="3" w:after="0"/>
      <w:ind w:left="136"/>
      <w:jc w:val="both"/>
    </w:pPr>
    <w:rPr>
      <w:rFonts w:ascii="Arial" w:hAnsi="Arial" w:eastAsia="Arial" w:cs="Arial"/>
      <w:sz w:val="22"/>
      <w:szCs w:val="22"/>
      <w:lang w:eastAsia="fr-FR" w:bidi="fr-F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user">
    <w:name w:val="Titre (user)"/>
    <w:basedOn w:val="Normal"/>
    <w:next w:val="BodyText"/>
    <w:qFormat/>
    <w:pPr>
      <w:keepNext w:val="true"/>
      <w:spacing w:before="240" w:after="120"/>
    </w:pPr>
    <w:rPr>
      <w:rFonts w:ascii="Liberation Sans" w:hAnsi="Liberation Sans" w:eastAsia="Microsoft YaHei" w:cs="Arial"/>
      <w:sz w:val="28"/>
      <w:szCs w:val="28"/>
    </w:rPr>
  </w:style>
  <w:style w:type="paragraph" w:styleId="En-tteetpieddepageuser">
    <w:name w:val="En-tête et pied de page (user)"/>
    <w:basedOn w:val="Normal"/>
    <w:qFormat/>
    <w:pPr/>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af2ef1"/>
    <w:pPr>
      <w:tabs>
        <w:tab w:val="clear" w:pos="708"/>
        <w:tab w:val="center" w:pos="4536" w:leader="none"/>
        <w:tab w:val="right" w:pos="9072" w:leader="none"/>
      </w:tabs>
    </w:pPr>
    <w:rPr/>
  </w:style>
  <w:style w:type="paragraph" w:styleId="Footer">
    <w:name w:val="footer"/>
    <w:basedOn w:val="Normal"/>
    <w:link w:val="PieddepageCar"/>
    <w:uiPriority w:val="99"/>
    <w:unhideWhenUsed/>
    <w:rsid w:val="00af2ef1"/>
    <w:pPr>
      <w:tabs>
        <w:tab w:val="clear" w:pos="708"/>
        <w:tab w:val="center" w:pos="4536" w:leader="none"/>
        <w:tab w:val="right" w:pos="9072" w:leader="none"/>
      </w:tabs>
    </w:pPr>
    <w:rPr/>
  </w:style>
  <w:style w:type="paragraph" w:styleId="Titre31" w:customStyle="1">
    <w:name w:val="Titre 31"/>
    <w:basedOn w:val="Normal"/>
    <w:uiPriority w:val="1"/>
    <w:qFormat/>
    <w:rsid w:val="00af2ef1"/>
    <w:pPr>
      <w:widowControl w:val="false"/>
      <w:ind w:hanging="469" w:left="604"/>
      <w:outlineLvl w:val="3"/>
    </w:pPr>
    <w:rPr>
      <w:rFonts w:ascii="Arial" w:hAnsi="Arial" w:eastAsia="Arial" w:cs="Arial"/>
      <w:sz w:val="28"/>
      <w:szCs w:val="28"/>
      <w:lang w:eastAsia="fr-FR" w:bidi="fr-FR"/>
    </w:rPr>
  </w:style>
  <w:style w:type="paragraph" w:styleId="BalloonText">
    <w:name w:val="Balloon Text"/>
    <w:basedOn w:val="Normal"/>
    <w:link w:val="TextedebullesCar"/>
    <w:uiPriority w:val="99"/>
    <w:semiHidden/>
    <w:unhideWhenUsed/>
    <w:qFormat/>
    <w:rsid w:val="0068751d"/>
    <w:pPr/>
    <w:rPr>
      <w:rFonts w:ascii="Lucida Grande" w:hAnsi="Lucida Grande" w:cs="Lucida Grande"/>
      <w:sz w:val="18"/>
      <w:szCs w:val="18"/>
    </w:rPr>
  </w:style>
  <w:style w:type="paragraph" w:styleId="NormalWeb">
    <w:name w:val="Normal (Web)"/>
    <w:basedOn w:val="Normal"/>
    <w:uiPriority w:val="99"/>
    <w:semiHidden/>
    <w:unhideWhenUsed/>
    <w:qFormat/>
    <w:rsid w:val="006232d1"/>
    <w:pPr>
      <w:spacing w:beforeAutospacing="1" w:afterAutospacing="1"/>
    </w:pPr>
    <w:rPr>
      <w:rFonts w:eastAsia="" w:eastAsiaTheme="minorEastAsia"/>
      <w:lang w:eastAsia="fr-FR"/>
    </w:rPr>
  </w:style>
  <w:style w:type="paragraph" w:styleId="Contenudecadreuser">
    <w:name w:val="Contenu de cadre (user)"/>
    <w:basedOn w:val="Normal"/>
    <w:qFormat/>
    <w:pP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eparisien.fr/seine-saint-denis-93/40-ans-apres-bobigny-n-oublie-pas-marie-claire-09-11-2012-2305779.php" TargetMode="External"/><Relationship Id="rId3" Type="http://schemas.openxmlformats.org/officeDocument/2006/relationships/hyperlink" Target="https://www.leparisien.fr/culture-loisirs/le-larzac-de-bove-triomphe-15-05-2011-1450465.php" TargetMode="External"/><Relationship Id="rId4" Type="http://schemas.openxmlformats.org/officeDocument/2006/relationships/hyperlink" Target="https://www.leparisien.fr/faits-divers/relaxes-les-58-faucheurs-d-ogm-seront-rejuges-06-06-2008-3298549723.php" TargetMode="External"/><Relationship Id="rId5" Type="http://schemas.openxmlformats.org/officeDocument/2006/relationships/hyperlink" Target="https://www.leparisien.fr/faits-divers/aide-aux-migrants-qu-est-ce-que-le-delit-de-solidarite-29-05-2018-7742433.php" TargetMode="External"/><Relationship Id="rId6" Type="http://schemas.openxmlformats.org/officeDocument/2006/relationships/hyperlink" Target="https://www.leparisien.fr/societe/alpes-maritimes-le-prefet-pris-en-defaut-pour-le-renvoi-d-un-migrant-de-12-ans-25-01-2018-7522101.php" TargetMode="External"/><Relationship Id="rId7" Type="http://schemas.openxmlformats.org/officeDocument/2006/relationships/hyperlink" Target="https://www.leparisien.fr/faits-divers/cedric-herrou-un-tres-mediatique-soutien-aux-migrants-06-08-2017-7178094.php" TargetMode="External"/><Relationship Id="rId8" Type="http://schemas.openxmlformats.org/officeDocument/2006/relationships/hyperlink" Target="https://www.leparisien.fr/faits-divers/aide-aux-migrants-cedric-herrou-condamne-a-quatre-mois-de-prison-avec-sursis-08-08-2017-7181505.php" TargetMode="External"/><Relationship Id="rId9" Type="http://schemas.openxmlformats.org/officeDocument/2006/relationships/hyperlink" Target="https://www.leparisien.fr/societe/extinction-rebellion-petite-histoire-de-la-desobeissance-civile-09-10-2019-8169504.php" TargetMode="External"/><Relationship Id="rId10" Type="http://schemas.openxmlformats.org/officeDocument/2006/relationships/hyperlink" Target="https://learningapps.org/watch?v=pvh6yr93c23"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Bureau">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27</TotalTime>
  <Application>LibreOffice/24.8.6.2$Windows_X86_64 LibreOffice_project/6d98ba145e9a8a39fc57bcc76981d1fb1316c60c</Application>
  <AppVersion>15.0000</AppVersion>
  <Pages>1</Pages>
  <Words>961</Words>
  <Characters>5178</Characters>
  <CharactersWithSpaces>6124</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2023-11-05T09:03:00Z</dcterms:created>
  <dc:creator>v d</dc:creator>
  <dc:description/>
  <dc:language>fr-FR</dc:language>
  <cp:lastModifiedBy>Microsoft Office User</cp:lastModifiedBy>
  <dcterms:modified xsi:type="dcterms:W3CDTF">2023-11-05T09:38:00Z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