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           </w:t>
      </w:r>
      <w:r>
        <w:rPr>
          <w:rFonts w:cs="Arial" w:ascii="Arial" w:hAnsi="Arial"/>
          <w:b/>
          <w:bCs/>
          <w:sz w:val="32"/>
          <w:szCs w:val="32"/>
        </w:rPr>
        <w:t xml:space="preserve">Comment les agents économiques se financent-ils ? </w:t>
      </w:r>
    </w:p>
    <w:p>
      <w:pPr>
        <w:pStyle w:val="Heading2"/>
        <w:bidi w:val="0"/>
        <w:spacing w:before="0" w:after="0"/>
        <w:ind w:left="0" w:right="0"/>
        <w:jc w:val="left"/>
        <w:rPr/>
      </w:pPr>
      <w:r>
        <w:rPr/>
      </w:r>
    </w:p>
    <w:p>
      <w:pPr>
        <w:pStyle w:val="Heading2"/>
        <w:bidi w:val="0"/>
        <w:spacing w:before="0" w:after="0"/>
        <w:ind w:left="0" w:right="0"/>
        <w:jc w:val="left"/>
        <w:rPr/>
      </w:pPr>
      <w:r>
        <w:rPr/>
        <w:t>Troisième</w:t>
      </w:r>
      <w:r>
        <w:rPr>
          <w:spacing w:val="13"/>
        </w:rPr>
        <w:t xml:space="preserve"> </w:t>
      </w:r>
      <w:r>
        <w:rPr/>
        <w:t>partie</w:t>
      </w:r>
      <w:r>
        <w:rPr>
          <w:spacing w:val="76"/>
        </w:rPr>
        <w:t xml:space="preserve"> </w:t>
      </w:r>
      <w:r>
        <w:rPr/>
        <w:t>:</w:t>
      </w:r>
      <w:r>
        <w:rPr>
          <w:spacing w:val="77"/>
        </w:rPr>
        <w:t xml:space="preserve"> </w:t>
      </w:r>
      <w:r>
        <w:rPr/>
        <w:t>Raisonnement</w:t>
      </w:r>
      <w:r>
        <w:rPr>
          <w:spacing w:val="77"/>
        </w:rPr>
        <w:t xml:space="preserve"> </w:t>
      </w:r>
      <w:r>
        <w:rPr/>
        <w:t>s’appuyant</w:t>
      </w:r>
      <w:r>
        <w:rPr>
          <w:spacing w:val="77"/>
        </w:rPr>
        <w:t xml:space="preserve"> </w:t>
      </w:r>
      <w:r>
        <w:rPr/>
        <w:t>sur</w:t>
      </w:r>
      <w:r>
        <w:rPr>
          <w:spacing w:val="78"/>
        </w:rPr>
        <w:t xml:space="preserve"> </w:t>
      </w:r>
      <w:r>
        <w:rPr/>
        <w:t>un</w:t>
      </w:r>
      <w:r>
        <w:rPr>
          <w:spacing w:val="79"/>
        </w:rPr>
        <w:t xml:space="preserve"> </w:t>
      </w:r>
      <w:r>
        <w:rPr/>
        <w:t>dossier</w:t>
      </w:r>
      <w:r>
        <w:rPr>
          <w:spacing w:val="78"/>
        </w:rPr>
        <w:t xml:space="preserve"> </w:t>
      </w:r>
      <w:r>
        <w:rPr/>
        <w:t>documentaire</w:t>
      </w:r>
    </w:p>
    <w:p>
      <w:pPr>
        <w:pStyle w:val="Heading3"/>
        <w:bidi w:val="0"/>
        <w:ind w:left="0" w:right="0"/>
        <w:jc w:val="left"/>
        <w:rPr/>
      </w:pPr>
      <w:r>
        <w:rPr/>
        <w:t>(10</w:t>
      </w:r>
      <w:r>
        <w:rPr>
          <w:spacing w:val="-2"/>
        </w:rPr>
        <w:t xml:space="preserve"> </w:t>
      </w:r>
      <w:r>
        <w:rPr/>
        <w:t>points)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cs="Arial" w:ascii="Arial" w:hAnsi="Arial"/>
          <w:i/>
          <w:sz w:val="24"/>
        </w:rPr>
        <w:t>Cette</w:t>
      </w:r>
      <w:r>
        <w:rPr>
          <w:rFonts w:cs="Arial" w:ascii="Arial" w:hAnsi="Arial"/>
          <w:i/>
          <w:spacing w:val="-5"/>
          <w:sz w:val="24"/>
        </w:rPr>
        <w:t xml:space="preserve"> </w:t>
      </w:r>
      <w:r>
        <w:rPr>
          <w:rFonts w:cs="Arial" w:ascii="Arial" w:hAnsi="Arial"/>
          <w:i/>
          <w:sz w:val="24"/>
        </w:rPr>
        <w:t>partie</w:t>
      </w:r>
      <w:r>
        <w:rPr>
          <w:rFonts w:cs="Arial" w:ascii="Arial" w:hAnsi="Arial"/>
          <w:i/>
          <w:spacing w:val="-3"/>
          <w:sz w:val="24"/>
        </w:rPr>
        <w:t xml:space="preserve"> </w:t>
      </w:r>
      <w:r>
        <w:rPr>
          <w:rFonts w:cs="Arial" w:ascii="Arial" w:hAnsi="Arial"/>
          <w:i/>
          <w:sz w:val="24"/>
        </w:rPr>
        <w:t>comporte</w:t>
      </w:r>
      <w:r>
        <w:rPr>
          <w:rFonts w:cs="Arial" w:ascii="Arial" w:hAnsi="Arial"/>
          <w:i/>
          <w:spacing w:val="-3"/>
          <w:sz w:val="24"/>
        </w:rPr>
        <w:t xml:space="preserve"> </w:t>
      </w:r>
      <w:r>
        <w:rPr>
          <w:rFonts w:cs="Arial" w:ascii="Arial" w:hAnsi="Arial"/>
          <w:i/>
          <w:sz w:val="24"/>
        </w:rPr>
        <w:t>trois</w:t>
      </w:r>
      <w:r>
        <w:rPr>
          <w:rFonts w:cs="Arial" w:ascii="Arial" w:hAnsi="Arial"/>
          <w:i/>
          <w:spacing w:val="-4"/>
          <w:sz w:val="24"/>
        </w:rPr>
        <w:t xml:space="preserve"> </w:t>
      </w:r>
      <w:r>
        <w:rPr>
          <w:rFonts w:cs="Arial" w:ascii="Arial" w:hAnsi="Arial"/>
          <w:i/>
          <w:sz w:val="24"/>
        </w:rPr>
        <w:t>documents.</w:t>
      </w:r>
    </w:p>
    <w:p>
      <w:pPr>
        <w:pStyle w:val="BodyText"/>
        <w:bidi w:val="0"/>
        <w:jc w:val="left"/>
        <w:rPr>
          <w:rFonts w:ascii="Arial" w:hAnsi="Arial" w:cs="Arial"/>
          <w:i/>
          <w:i/>
          <w:sz w:val="25"/>
        </w:rPr>
      </w:pPr>
      <w:r>
        <w:rPr>
          <w:rFonts w:cs="Arial" w:ascii="Arial" w:hAnsi="Arial"/>
          <w:i/>
          <w:sz w:val="25"/>
        </w:rPr>
      </w:r>
    </w:p>
    <w:p>
      <w:pPr>
        <w:pStyle w:val="Heading2"/>
        <w:bidi w:val="0"/>
        <w:ind w:left="0" w:right="0"/>
        <w:jc w:val="left"/>
        <w:rPr/>
      </w:pPr>
      <w:r>
        <w:rPr>
          <w:rFonts w:cs="Arial MT" w:ascii="Arial MT" w:hAnsi="Arial MT"/>
          <w:sz w:val="32"/>
          <w:szCs w:val="32"/>
        </w:rPr>
        <w:t>Sujet</w:t>
      </w:r>
      <w:r>
        <w:rPr>
          <w:rFonts w:cs="Arial MT" w:ascii="Arial MT" w:hAnsi="Arial MT"/>
          <w:spacing w:val="12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:</w:t>
      </w:r>
      <w:r>
        <w:rPr>
          <w:rFonts w:cs="Arial MT" w:ascii="Arial MT" w:hAnsi="Arial MT"/>
          <w:spacing w:val="16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À</w:t>
      </w:r>
      <w:r>
        <w:rPr>
          <w:rFonts w:cs="Arial MT" w:ascii="Arial MT" w:hAnsi="Arial MT"/>
          <w:spacing w:val="5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l’aide</w:t>
      </w:r>
      <w:r>
        <w:rPr>
          <w:rFonts w:cs="Arial MT" w:ascii="Arial MT" w:hAnsi="Arial MT"/>
          <w:spacing w:val="14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de</w:t>
      </w:r>
      <w:r>
        <w:rPr>
          <w:rFonts w:cs="Arial MT" w:ascii="Arial MT" w:hAnsi="Arial MT"/>
          <w:spacing w:val="14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vos</w:t>
      </w:r>
      <w:r>
        <w:rPr>
          <w:rFonts w:cs="Arial MT" w:ascii="Arial MT" w:hAnsi="Arial MT"/>
          <w:spacing w:val="14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connaissances</w:t>
      </w:r>
      <w:r>
        <w:rPr>
          <w:rFonts w:cs="Arial MT" w:ascii="Arial MT" w:hAnsi="Arial MT"/>
          <w:spacing w:val="11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et</w:t>
      </w:r>
      <w:r>
        <w:rPr>
          <w:rFonts w:cs="Arial MT" w:ascii="Arial MT" w:hAnsi="Arial MT"/>
          <w:spacing w:val="12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du</w:t>
      </w:r>
      <w:r>
        <w:rPr>
          <w:rFonts w:cs="Arial MT" w:ascii="Arial MT" w:hAnsi="Arial MT"/>
          <w:spacing w:val="13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dossier</w:t>
      </w:r>
      <w:r>
        <w:rPr>
          <w:rFonts w:cs="Arial MT" w:ascii="Arial MT" w:hAnsi="Arial MT"/>
          <w:spacing w:val="13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documentaire,</w:t>
      </w:r>
      <w:r>
        <w:rPr>
          <w:rFonts w:cs="Arial MT" w:ascii="Arial MT" w:hAnsi="Arial MT"/>
          <w:spacing w:val="13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vous</w:t>
      </w:r>
      <w:r>
        <w:rPr>
          <w:rFonts w:cs="Arial MT" w:ascii="Arial MT" w:hAnsi="Arial MT"/>
          <w:spacing w:val="-64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montrerez</w:t>
      </w:r>
      <w:r>
        <w:rPr>
          <w:rFonts w:cs="Arial MT" w:ascii="Arial MT" w:hAnsi="Arial MT"/>
          <w:spacing w:val="-1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 xml:space="preserve">qu’une  politique de dépenses publiques peut avoir des effets contradictoires sur l’activité </w:t>
      </w:r>
    </w:p>
    <w:p>
      <w:pPr>
        <w:pStyle w:val="Heading2"/>
        <w:bidi w:val="0"/>
        <w:ind w:left="0" w:right="0"/>
        <w:jc w:val="left"/>
        <w:rPr/>
      </w:pPr>
      <w:r>
        <w:rPr/>
      </w:r>
    </w:p>
    <w:p>
      <w:pPr>
        <w:pStyle w:val="Heading2"/>
        <w:bidi w:val="0"/>
        <w:ind w:left="0" w:right="0"/>
        <w:jc w:val="left"/>
        <w:rPr/>
      </w:pPr>
      <w:r>
        <w:rPr>
          <w:rFonts w:cs="Arial" w:ascii="Arial" w:hAnsi="Arial"/>
          <w:b/>
          <w:bCs/>
          <w:sz w:val="24"/>
        </w:rPr>
        <w:t>DOCUMENT 1</w:t>
      </w:r>
    </w:p>
    <w:p>
      <w:pPr>
        <w:pStyle w:val="Heading2"/>
        <w:bidi w:val="0"/>
        <w:ind w:left="0" w:right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2"/>
        <w:bidi w:val="0"/>
        <w:ind w:left="0" w:right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spacing w:before="0" w:after="0"/>
        <w:jc w:val="left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-88900</wp:posOffset>
            </wp:positionH>
            <wp:positionV relativeFrom="paragraph">
              <wp:posOffset>30480</wp:posOffset>
            </wp:positionV>
            <wp:extent cx="6119495" cy="4726940"/>
            <wp:effectExtent l="0" t="0" r="0" b="0"/>
            <wp:wrapSquare wrapText="largest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726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before="0" w:after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DOCUMENT 2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bidi w:val="0"/>
        <w:ind w:hanging="0" w:left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L’Effet d’Éviction dans l’Économie: Comprendre l’Impact sur les Investissements Privés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bidi w:val="0"/>
        <w:jc w:val="left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L’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effet d’éviction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se réfère à la réduction de l’investissement privé qui se produit lorsque la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dépense publique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augmente. Ce phénomène est crucial pour comprendre l’interaction entre les politiques fiscales et le développement économique. À travers un prisme analytique, nous allons explorer divers aspects de cet effet</w:t>
      </w:r>
      <w:bookmarkStart w:id="0" w:name="La-Concurrence-pour-le-Financement"/>
      <w:bookmarkEnd w:id="0"/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(..)</w:t>
      </w:r>
    </w:p>
    <w:p>
      <w:pPr>
        <w:pStyle w:val="BodyText"/>
        <w:widowControl/>
        <w:pBdr/>
        <w:bidi w:val="0"/>
        <w:spacing w:before="0" w:after="0"/>
        <w:ind w:right="0"/>
        <w:jc w:val="left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Lorsque l’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État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augmente ses dépenses, il a souvent besoin de financer cette augmentation par le biais de l’emprunt. Cela conduit à une hausse des taux d’intérêt puisque la demande de capitaux sur les marchés financiers s’accroît. Les entreprises faisant face à ces taux d’intérêt plus élevés peuvent alors reporter ou annuler leurs projets d’investissement, car les coûts de financement deviennent plus onéreux.</w:t>
      </w:r>
    </w:p>
    <w:p>
      <w:pPr>
        <w:pStyle w:val="BodyText"/>
        <w:widowControl/>
        <w:pBdr/>
        <w:bidi w:val="0"/>
        <w:spacing w:before="0" w:after="0"/>
        <w:ind w:right="0"/>
        <w:jc w:val="left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141414"/>
          <w:spacing w:val="0"/>
          <w:sz w:val="24"/>
          <w:szCs w:val="24"/>
        </w:rPr>
        <w:t>Un accroissement de l’intervention de l’État peut instiller une sensation d’incertitude chez les acteurs du secteur privé. Les investisseurs, face à des perspectives économiques potentiellement affectées par les décisions politiques, peuvent choisir de différer leurs investissements, participant ainsi à cet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141414"/>
          <w:spacing w:val="0"/>
          <w:sz w:val="24"/>
          <w:szCs w:val="24"/>
        </w:rPr>
        <w:t>effet d’éviction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141414"/>
          <w:spacing w:val="0"/>
          <w:sz w:val="24"/>
          <w:szCs w:val="24"/>
        </w:rPr>
        <w:t>.</w:t>
      </w:r>
    </w:p>
    <w:p>
      <w:pPr>
        <w:pStyle w:val="BodyText"/>
        <w:widowControl/>
        <w:pBdr/>
        <w:bidi w:val="0"/>
        <w:spacing w:before="0" w:after="0"/>
        <w:ind w:right="0"/>
        <w:jc w:val="left"/>
        <w:rPr/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Source : La Scène Michelet Juillet 2024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DOCUMENT 3</w:t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3100" cy="3185160"/>
            <wp:effectExtent l="0" t="0" r="0" b="0"/>
            <wp:wrapSquare wrapText="largest"/>
            <wp:docPr id="2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</w:rPr>
        <w:t xml:space="preserve">    </w:t>
      </w:r>
      <w:r>
        <w:rPr>
          <w:rFonts w:cs="Arial" w:ascii="Arial" w:hAnsi="Arial"/>
          <w:b/>
          <w:bCs/>
        </w:rPr>
        <w:t xml:space="preserve">Source : Gouvernement - 2020 </w:t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FF6D6D"/>
          <w:sz w:val="24"/>
          <w:szCs w:val="24"/>
        </w:rPr>
      </w:pPr>
      <w:r>
        <w:rPr>
          <w:rFonts w:cs="Arial" w:ascii="Arial" w:hAnsi="Arial"/>
          <w:b/>
          <w:bCs/>
          <w:color w:val="FF6D6D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FF6D6D"/>
          <w:sz w:val="32"/>
          <w:szCs w:val="32"/>
        </w:rPr>
      </w:pPr>
      <w:r>
        <w:rPr>
          <w:rFonts w:cs="Arial" w:ascii="Arial" w:hAnsi="Arial"/>
          <w:b/>
          <w:bCs/>
          <w:color w:val="FF6D6D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FF6D6D"/>
          <w:sz w:val="32"/>
          <w:szCs w:val="32"/>
        </w:rPr>
      </w:pPr>
      <w:r>
        <w:rPr>
          <w:rFonts w:cs="Arial" w:ascii="Arial" w:hAnsi="Arial"/>
          <w:b/>
          <w:bCs/>
          <w:color w:val="FF6D6D"/>
          <w:sz w:val="32"/>
          <w:szCs w:val="3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MT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Arial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2"/>
        <w:numId w:val="1"/>
      </w:numPr>
      <w:ind w:hanging="0" w:left="216" w:right="0"/>
      <w:outlineLvl w:val="2"/>
    </w:pPr>
    <w:rPr>
      <w:rFonts w:ascii="Arial" w:hAnsi="Arial" w:eastAsia="Arial" w:cs="Arial"/>
      <w:b/>
      <w:bCs/>
      <w:sz w:val="24"/>
      <w:szCs w:val="24"/>
    </w:rPr>
  </w:style>
  <w:style w:type="paragraph" w:styleId="Heading3">
    <w:name w:val="heading 3"/>
    <w:basedOn w:val="Normal"/>
    <w:next w:val="BodyText"/>
    <w:qFormat/>
    <w:pPr>
      <w:numPr>
        <w:ilvl w:val="3"/>
        <w:numId w:val="1"/>
      </w:numPr>
      <w:ind w:hanging="0" w:left="496" w:right="0"/>
      <w:outlineLvl w:val="3"/>
    </w:pPr>
    <w:rPr>
      <w:rFonts w:ascii="Arial" w:hAnsi="Arial" w:eastAsia="Arial" w:cs="Arial"/>
      <w:b/>
      <w:bCs/>
      <w:i/>
      <w:iCs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4</Pages>
  <Words>227</Words>
  <Characters>1373</Characters>
  <CharactersWithSpaces>1607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2025-12-16T18:34:05Z</dcterms:created>
  <dc:creator/>
  <dc:description/>
  <dc:language>fr-FR</dc:language>
  <cp:lastModifiedBy/>
  <dcterms:modified xsi:type="dcterms:W3CDTF">2025-12-16T18:35:50Z</dcterms:modified>
  <cp:revision>1</cp:revision>
  <dc:subject/>
  <dc:title/>
</cp:coreProperties>
</file>