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47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6"/>
        <w:gridCol w:w="4642"/>
        <w:gridCol w:w="5281"/>
      </w:tblGrid>
      <w:tr>
        <w:trPr/>
        <w:tc>
          <w:tcPr>
            <w:tcW w:w="4786" w:type="dxa"/>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fr-FR" w:eastAsia="en-US" w:bidi="ar-SA"/>
              </w:rPr>
              <w:t>Augmentation des distances</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fr-FR" w:eastAsia="en-US" w:bidi="ar-SA"/>
              </w:rPr>
              <w:t>intra-classe</w:t>
            </w:r>
          </w:p>
        </w:tc>
        <w:tc>
          <w:tcPr>
            <w:tcW w:w="4642" w:type="dxa"/>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fr-FR" w:eastAsia="en-US" w:bidi="ar-SA"/>
              </w:rPr>
              <w:t>Montée de l’individualisation</w:t>
            </w:r>
          </w:p>
        </w:tc>
        <w:tc>
          <w:tcPr>
            <w:tcW w:w="5281" w:type="dxa"/>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fr-FR" w:eastAsia="en-US" w:bidi="ar-SA"/>
              </w:rPr>
              <w:t>Une multiplicité des dimensions de l’identité sociale</w:t>
            </w:r>
          </w:p>
        </w:tc>
      </w:tr>
      <w:tr>
        <w:trPr/>
        <w:tc>
          <w:tcPr>
            <w:tcW w:w="4786" w:type="dxa"/>
            <w:tcBorders/>
          </w:tcPr>
          <w:p>
            <w:pPr>
              <w:pStyle w:val="Normal"/>
              <w:widowControl/>
              <w:spacing w:lineRule="auto" w:line="240" w:before="0" w:after="0"/>
              <w:jc w:val="both"/>
              <w:rPr>
                <w:rFonts w:ascii="Times New Roman" w:hAnsi="Times New Roman" w:eastAsia="Times New Roman" w:cs="Times New Roman"/>
                <w:b/>
                <w:lang w:eastAsia="fr-FR"/>
              </w:rPr>
            </w:pPr>
            <w:r>
              <w:rPr>
                <w:rFonts w:eastAsia="Times New Roman" w:cs="Times New Roman" w:ascii="Times New Roman" w:hAnsi="Times New Roman"/>
                <w:b/>
                <w:kern w:val="0"/>
                <w:sz w:val="22"/>
                <w:szCs w:val="22"/>
                <w:lang w:val="fr-FR" w:eastAsia="fr-FR" w:bidi="ar-SA"/>
              </w:rPr>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b/>
                <w:kern w:val="0"/>
                <w:sz w:val="22"/>
                <w:szCs w:val="22"/>
                <w:lang w:val="fr-FR" w:eastAsia="fr-FR" w:bidi="ar-SA"/>
              </w:rPr>
              <w:t>- la classe populaire est devenue plus hétérogène </w:t>
            </w:r>
            <w:r>
              <w:rPr>
                <w:rFonts w:eastAsia="Times New Roman" w:cs="Times New Roman" w:ascii="Times New Roman" w:hAnsi="Times New Roman"/>
                <w:kern w:val="0"/>
                <w:sz w:val="22"/>
                <w:szCs w:val="22"/>
                <w:lang w:val="fr-FR" w:eastAsia="fr-FR" w:bidi="ar-SA"/>
              </w:rPr>
              <w:t>: elle comprend les salariés précaires, qui dénoncent leurs conditions de vie et l’injustice sociale, la fraction inférieure des classes moyennes qui se sent déclassée (cf Gilets jaunes) mais aussi les habitants des quartiers défavorisés qui se sentent stigmatisés souvent en raison de leur origine ethnique.</w:t>
            </w:r>
          </w:p>
          <w:p>
            <w:pPr>
              <w:pStyle w:val="Normal"/>
              <w:widowControl/>
              <w:spacing w:lineRule="auto" w:line="240" w:before="0" w:after="0"/>
              <w:jc w:val="both"/>
              <w:rPr>
                <w:rFonts w:ascii="Times New Roman" w:hAnsi="Times New Roman" w:eastAsia="Times New Roman" w:cs="Times New Roman"/>
                <w:b/>
                <w:lang w:eastAsia="fr-FR"/>
              </w:rPr>
            </w:pPr>
            <w:r>
              <w:rPr>
                <w:rFonts w:eastAsia="Times New Roman" w:cs="Times New Roman" w:ascii="Times New Roman" w:hAnsi="Times New Roman"/>
                <w:kern w:val="0"/>
                <w:sz w:val="22"/>
                <w:szCs w:val="22"/>
                <w:lang w:val="fr-FR" w:eastAsia="fr-FR" w:bidi="ar-SA"/>
              </w:rPr>
              <w:t xml:space="preserve">- </w:t>
            </w:r>
            <w:r>
              <w:rPr>
                <w:rFonts w:eastAsia="Times New Roman" w:cs="Times New Roman" w:ascii="Times New Roman" w:hAnsi="Times New Roman"/>
                <w:b/>
                <w:kern w:val="0"/>
                <w:sz w:val="22"/>
                <w:szCs w:val="22"/>
                <w:lang w:val="fr-FR" w:eastAsia="fr-FR" w:bidi="ar-SA"/>
              </w:rPr>
              <w:t xml:space="preserve">diversification des statuts </w:t>
            </w:r>
            <w:r>
              <w:rPr>
                <w:rFonts w:eastAsia="Times New Roman" w:cs="Times New Roman" w:ascii="Times New Roman" w:hAnsi="Times New Roman"/>
                <w:kern w:val="0"/>
                <w:sz w:val="22"/>
                <w:szCs w:val="22"/>
                <w:lang w:val="fr-FR" w:eastAsia="fr-FR" w:bidi="ar-SA"/>
              </w:rPr>
              <w:t xml:space="preserve">des salariés d’exécution au sein des usines, </w:t>
            </w:r>
            <w:r>
              <w:rPr>
                <w:rFonts w:eastAsia="Times New Roman" w:cs="Times New Roman" w:ascii="Times New Roman" w:hAnsi="Times New Roman"/>
                <w:b/>
                <w:kern w:val="0"/>
                <w:sz w:val="22"/>
                <w:szCs w:val="22"/>
                <w:lang w:val="fr-FR" w:eastAsia="fr-FR" w:bidi="ar-SA"/>
              </w:rPr>
              <w:t>é</w:t>
            </w:r>
            <w:r>
              <w:rPr>
                <w:rFonts w:eastAsia="Calibri" w:cs="Times New Roman" w:ascii="Times New Roman" w:hAnsi="Times New Roman"/>
                <w:b/>
                <w:kern w:val="0"/>
                <w:sz w:val="22"/>
                <w:szCs w:val="22"/>
                <w:lang w:val="fr-FR" w:eastAsia="en-US" w:bidi="ar-SA"/>
              </w:rPr>
              <w:t>carts de formation</w:t>
            </w:r>
            <w:r>
              <w:rPr>
                <w:rFonts w:eastAsia="Calibri" w:cs="Times New Roman" w:ascii="Times New Roman" w:hAnsi="Times New Roman"/>
                <w:kern w:val="0"/>
                <w:sz w:val="22"/>
                <w:szCs w:val="22"/>
                <w:lang w:val="fr-FR" w:eastAsia="en-US" w:bidi="ar-SA"/>
              </w:rPr>
              <w:t xml:space="preserve"> (les employés qualifiés sont 17 % à avoir un bac + 2 contre 4 à 5 % pour les employés non qualifiés et les ouvriers), </w:t>
            </w:r>
            <w:r>
              <w:rPr>
                <w:rFonts w:eastAsia="Calibri" w:cs="Times New Roman" w:ascii="Times New Roman" w:hAnsi="Times New Roman"/>
                <w:b/>
                <w:kern w:val="0"/>
                <w:sz w:val="22"/>
                <w:szCs w:val="22"/>
                <w:lang w:val="fr-FR" w:eastAsia="en-US" w:bidi="ar-SA"/>
              </w:rPr>
              <w:t>écarts de taux de chômage</w:t>
            </w:r>
            <w:r>
              <w:rPr>
                <w:rFonts w:eastAsia="Calibri" w:cs="Times New Roman" w:ascii="Times New Roman" w:hAnsi="Times New Roman"/>
                <w:kern w:val="0"/>
                <w:sz w:val="22"/>
                <w:szCs w:val="22"/>
                <w:lang w:val="fr-FR" w:eastAsia="en-US" w:bidi="ar-SA"/>
              </w:rPr>
              <w:t xml:space="preserve"> (de 17,8 % pour ouvriers non qualifiés à 7 % pour employés qualifiés), </w:t>
            </w:r>
            <w:r>
              <w:rPr>
                <w:rFonts w:eastAsia="Calibri" w:cs="Times New Roman" w:ascii="Times New Roman" w:hAnsi="Times New Roman"/>
                <w:b/>
                <w:kern w:val="0"/>
                <w:sz w:val="22"/>
                <w:szCs w:val="22"/>
                <w:lang w:val="fr-FR" w:eastAsia="en-US" w:bidi="ar-SA"/>
              </w:rPr>
              <w:t>écarts de temps partiel</w:t>
            </w:r>
            <w:r>
              <w:rPr>
                <w:rFonts w:eastAsia="Calibri" w:cs="Times New Roman" w:ascii="Times New Roman" w:hAnsi="Times New Roman"/>
                <w:kern w:val="0"/>
                <w:sz w:val="22"/>
                <w:szCs w:val="22"/>
                <w:lang w:val="fr-FR" w:eastAsia="en-US" w:bidi="ar-SA"/>
              </w:rPr>
              <w:t xml:space="preserve"> entre les ouvriers qualifiés (7,9 %) et non qualifiés (20,6 %), entre les employés qualifiés (23,2 %) et non qualifiés (44,1 %).</w:t>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kern w:val="0"/>
                <w:sz w:val="22"/>
                <w:szCs w:val="22"/>
                <w:lang w:val="fr-FR" w:eastAsia="fr-FR" w:bidi="ar-SA"/>
              </w:rPr>
              <w:t>- les employés administratifs sont en moyenne plus diplômés et exercent des tâches plus qualifiées que les employés assurant des services à la personne (aide ménagère, aide soignante…)</w:t>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kern w:val="0"/>
                <w:sz w:val="22"/>
                <w:szCs w:val="22"/>
                <w:lang w:val="fr-FR" w:eastAsia="fr-FR" w:bidi="ar-SA"/>
              </w:rPr>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b/>
                <w:kern w:val="0"/>
                <w:sz w:val="22"/>
                <w:szCs w:val="22"/>
                <w:lang w:val="fr-FR" w:eastAsia="fr-FR" w:bidi="ar-SA"/>
              </w:rPr>
              <w:t>Tout cela rend plus difficile l’identification à une même classe et la mobilisation commune</w:t>
            </w:r>
            <w:r>
              <w:rPr>
                <w:rFonts w:eastAsia="Times New Roman" w:cs="Times New Roman" w:ascii="Times New Roman" w:hAnsi="Times New Roman"/>
                <w:kern w:val="0"/>
                <w:sz w:val="22"/>
                <w:szCs w:val="22"/>
                <w:lang w:val="fr-FR" w:eastAsia="fr-FR" w:bidi="ar-SA"/>
              </w:rPr>
              <w:t>.</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4642" w:type="dxa"/>
            <w:tcBorders/>
          </w:tcPr>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b/>
                <w:bCs/>
                <w:color w:val="FF0000"/>
                <w:kern w:val="0"/>
                <w:sz w:val="22"/>
                <w:szCs w:val="22"/>
                <w:lang w:val="fr-FR" w:eastAsia="en-US" w:bidi="ar-SA"/>
              </w:rPr>
              <w:t>Individualisation</w:t>
            </w:r>
            <w:r>
              <w:rPr>
                <w:rFonts w:eastAsia="Calibri" w:cs="Times New Roman" w:ascii="Times New Roman" w:hAnsi="Times New Roman"/>
                <w:bCs/>
                <w:kern w:val="0"/>
                <w:sz w:val="22"/>
                <w:szCs w:val="22"/>
                <w:lang w:val="fr-FR" w:eastAsia="en-US" w:bidi="ar-SA"/>
              </w:rPr>
              <w:t> :</w:t>
            </w:r>
            <w:r>
              <w:rPr>
                <w:rFonts w:eastAsia="Calibri" w:cs="Times New Roman" w:ascii="Times New Roman" w:hAnsi="Times New Roman"/>
                <w:kern w:val="0"/>
                <w:sz w:val="22"/>
                <w:szCs w:val="22"/>
                <w:lang w:val="fr-FR" w:eastAsia="en-US" w:bidi="ar-SA"/>
              </w:rPr>
              <w:t xml:space="preserve"> </w:t>
            </w:r>
            <w:r>
              <w:rPr>
                <w:rFonts w:eastAsia="Calibri" w:cs="Times New Roman" w:ascii="Times New Roman" w:hAnsi="Times New Roman"/>
                <w:bCs/>
                <w:kern w:val="0"/>
                <w:sz w:val="22"/>
                <w:szCs w:val="22"/>
                <w:lang w:val="fr-FR" w:eastAsia="en-US" w:bidi="ar-SA"/>
              </w:rPr>
              <w:t xml:space="preserve">émancipation de l’individu vis-à-vis de ses groupes d’appartenance, </w:t>
            </w:r>
            <w:r>
              <w:rPr>
                <w:rFonts w:eastAsia="Calibri" w:cs="Times New Roman" w:ascii="Times New Roman" w:hAnsi="Times New Roman"/>
                <w:kern w:val="0"/>
                <w:sz w:val="22"/>
                <w:szCs w:val="22"/>
                <w:lang w:val="fr-FR" w:eastAsia="en-US" w:bidi="ar-SA"/>
              </w:rPr>
              <w:t>repose sur la valorisation de l’autonomie de l’individu, sa capacité à faire des choix pour lui-même.</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fr-FR" w:eastAsia="en-US" w:bidi="ar-SA"/>
              </w:rPr>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b/>
                <w:kern w:val="0"/>
                <w:sz w:val="22"/>
                <w:szCs w:val="22"/>
                <w:lang w:val="fr-FR" w:eastAsia="en-US" w:bidi="ar-SA"/>
              </w:rPr>
              <w:t xml:space="preserve">- ce processus peut affaiblir la notion de classe sociale puisque les individus se définissent par leurs choix personnels </w:t>
            </w:r>
            <w:r>
              <w:rPr>
                <w:rFonts w:eastAsia="Calibri" w:cs="Times New Roman" w:ascii="Times New Roman" w:hAnsi="Times New Roman"/>
                <w:kern w:val="0"/>
                <w:sz w:val="22"/>
                <w:szCs w:val="22"/>
                <w:lang w:val="fr-FR" w:eastAsia="en-US" w:bidi="ar-SA"/>
              </w:rPr>
              <w:t>(en matière de pratiques culturelles, religieuses, de militantisme politique, de choix de vie…)</w:t>
            </w:r>
            <w:r>
              <w:rPr>
                <w:rFonts w:eastAsia="Calibri" w:cs="Times New Roman" w:ascii="Times New Roman" w:hAnsi="Times New Roman"/>
                <w:b/>
                <w:kern w:val="0"/>
                <w:sz w:val="22"/>
                <w:szCs w:val="22"/>
                <w:lang w:val="fr-FR" w:eastAsia="en-US" w:bidi="ar-SA"/>
              </w:rPr>
              <w:t xml:space="preserve"> avant de se définir comme les membres d’une classe</w:t>
            </w:r>
            <w:r>
              <w:rPr>
                <w:rFonts w:eastAsia="Calibri" w:cs="Times New Roman" w:ascii="Times New Roman" w:hAnsi="Times New Roman"/>
                <w:kern w:val="0"/>
                <w:sz w:val="22"/>
                <w:szCs w:val="22"/>
                <w:lang w:val="fr-FR" w:eastAsia="en-US" w:bidi="ar-SA"/>
              </w:rPr>
              <w:t>.</w:t>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kern w:val="0"/>
                <w:sz w:val="22"/>
                <w:szCs w:val="22"/>
                <w:lang w:val="fr-FR" w:eastAsia="fr-FR" w:bidi="ar-SA"/>
              </w:rPr>
            </w:r>
          </w:p>
          <w:p>
            <w:pPr>
              <w:pStyle w:val="Normal"/>
              <w:widowControl/>
              <w:spacing w:lineRule="auto" w:line="240" w:before="0" w:after="0"/>
              <w:jc w:val="both"/>
              <w:rPr>
                <w:rFonts w:ascii="Times New Roman" w:hAnsi="Times New Roman" w:cs="Times New Roman"/>
                <w:b/>
              </w:rPr>
            </w:pPr>
            <w:r>
              <w:rPr>
                <w:rFonts w:eastAsia="Times New Roman" w:cs="Times New Roman" w:ascii="Times New Roman" w:hAnsi="Times New Roman"/>
                <w:kern w:val="0"/>
                <w:sz w:val="22"/>
                <w:szCs w:val="22"/>
                <w:lang w:val="fr-FR" w:eastAsia="fr-FR" w:bidi="ar-SA"/>
              </w:rPr>
              <w:t>- au-delà de la baisse de la conscience de classe, l</w:t>
            </w:r>
            <w:r>
              <w:rPr>
                <w:rFonts w:eastAsia="Calibri" w:cs="Times New Roman" w:ascii="Times New Roman" w:hAnsi="Times New Roman"/>
                <w:kern w:val="0"/>
                <w:sz w:val="22"/>
                <w:szCs w:val="22"/>
                <w:lang w:val="fr-FR" w:eastAsia="en-US" w:bidi="ar-SA"/>
              </w:rPr>
              <w:t xml:space="preserve">a diversité des choix personnel et des styles de vie va de plus </w:t>
            </w:r>
            <w:r>
              <w:rPr>
                <w:rFonts w:eastAsia="Calibri" w:cs="Times New Roman" w:ascii="Times New Roman" w:hAnsi="Times New Roman"/>
                <w:b/>
                <w:kern w:val="0"/>
                <w:sz w:val="22"/>
                <w:szCs w:val="22"/>
                <w:lang w:val="fr-FR" w:eastAsia="en-US" w:bidi="ar-SA"/>
              </w:rPr>
              <w:t>réduire l’homogénéité des comportements au sein d’une classe et peut lui faire perdre sa spécificité.</w:t>
            </w:r>
          </w:p>
          <w:p>
            <w:pPr>
              <w:pStyle w:val="Normal"/>
              <w:widowControl w:val="false"/>
              <w:spacing w:lineRule="atLeast" w:line="240" w:before="0" w:after="0"/>
              <w:jc w:val="both"/>
              <w:rPr>
                <w:rFonts w:ascii="Times New Roman" w:hAnsi="Times New Roman" w:eastAsia="Times New Roman" w:cs="Times New Roman"/>
                <w:b/>
                <w:lang w:eastAsia="fr-FR"/>
              </w:rPr>
            </w:pPr>
            <w:r>
              <w:rPr>
                <w:rFonts w:eastAsia="Times New Roman" w:cs="Times New Roman" w:ascii="Times New Roman" w:hAnsi="Times New Roman"/>
                <w:b/>
                <w:kern w:val="0"/>
                <w:sz w:val="22"/>
                <w:szCs w:val="22"/>
                <w:lang w:val="fr-FR" w:eastAsia="fr-FR" w:bidi="ar-SA"/>
              </w:rPr>
            </w:r>
          </w:p>
          <w:p>
            <w:pPr>
              <w:pStyle w:val="Normal"/>
              <w:widowControl w:val="false"/>
              <w:spacing w:lineRule="atLeast" w:line="240" w:before="0" w:after="0"/>
              <w:jc w:val="both"/>
              <w:rPr>
                <w:rFonts w:ascii="Times New Roman" w:hAnsi="Times New Roman" w:eastAsia="Times New Roman" w:cs="Times New Roman"/>
                <w:b/>
                <w:lang w:eastAsia="fr-FR"/>
              </w:rPr>
            </w:pPr>
            <w:r>
              <w:rPr>
                <w:rFonts w:eastAsia="Times New Roman" w:cs="Times New Roman" w:ascii="Times New Roman" w:hAnsi="Times New Roman"/>
                <w:b/>
                <w:kern w:val="0"/>
                <w:sz w:val="22"/>
                <w:szCs w:val="22"/>
                <w:lang w:val="fr-FR" w:eastAsia="fr-FR" w:bidi="ar-SA"/>
              </w:rPr>
              <w:t xml:space="preserve">- le processus d’individualisation observé dans le monde du travail du fait des méthodes managériales va dans le même sens : l’individualisation des carrières </w:t>
            </w:r>
            <w:r>
              <w:rPr>
                <w:rFonts w:eastAsia="Times New Roman" w:cs="Times New Roman" w:ascii="Times New Roman" w:hAnsi="Times New Roman"/>
                <w:kern w:val="0"/>
                <w:sz w:val="22"/>
                <w:szCs w:val="22"/>
                <w:lang w:val="fr-FR" w:eastAsia="fr-FR" w:bidi="ar-SA"/>
              </w:rPr>
              <w:t xml:space="preserve">(négociation individuelle des salaires, primes, promotions, horaires…) </w:t>
            </w:r>
            <w:r>
              <w:rPr>
                <w:rFonts w:eastAsia="Times New Roman" w:cs="Times New Roman" w:ascii="Times New Roman" w:hAnsi="Times New Roman"/>
                <w:b/>
                <w:kern w:val="0"/>
                <w:sz w:val="22"/>
                <w:szCs w:val="22"/>
                <w:lang w:val="fr-FR" w:eastAsia="fr-FR" w:bidi="ar-SA"/>
              </w:rPr>
              <w:t>peut de plus</w:t>
            </w:r>
            <w:r>
              <w:rPr>
                <w:rFonts w:eastAsia="Calibri" w:cs="Times New Roman" w:ascii="Times New Roman" w:hAnsi="Times New Roman"/>
                <w:b/>
                <w:kern w:val="0"/>
                <w:sz w:val="22"/>
                <w:szCs w:val="22"/>
                <w:lang w:val="fr-FR" w:eastAsia="en-US" w:bidi="ar-SA"/>
              </w:rPr>
              <w:t xml:space="preserve"> accentuer la concurrence entre les travailleurs, creuser les écarts économiques entre eux, et</w:t>
            </w:r>
            <w:r>
              <w:rPr>
                <w:rFonts w:eastAsia="Times New Roman" w:cs="Times New Roman" w:ascii="Times New Roman" w:hAnsi="Times New Roman"/>
                <w:b/>
                <w:kern w:val="0"/>
                <w:sz w:val="22"/>
                <w:szCs w:val="22"/>
                <w:lang w:val="fr-FR" w:eastAsia="fr-FR" w:bidi="ar-SA"/>
              </w:rPr>
              <w:t xml:space="preserve"> </w:t>
            </w:r>
            <w:r>
              <w:rPr>
                <w:rFonts w:eastAsia="Calibri" w:cs="Times New Roman" w:ascii="Times New Roman" w:hAnsi="Times New Roman"/>
                <w:b/>
                <w:kern w:val="0"/>
                <w:sz w:val="22"/>
                <w:szCs w:val="22"/>
                <w:lang w:val="fr-FR" w:eastAsia="en-US" w:bidi="ar-SA"/>
              </w:rPr>
              <w:t>affaiblir l’esprit collectif.</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5281" w:type="dxa"/>
            <w:tcBorders/>
          </w:tcPr>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b/>
                <w:kern w:val="0"/>
                <w:sz w:val="22"/>
                <w:szCs w:val="22"/>
                <w:lang w:val="fr-FR" w:eastAsia="fr-FR" w:bidi="ar-SA"/>
              </w:rPr>
              <w:t xml:space="preserve">- B.Lahire </w:t>
            </w:r>
            <w:r>
              <w:rPr>
                <w:rFonts w:eastAsia="Times New Roman" w:cs="Times New Roman" w:ascii="Times New Roman" w:hAnsi="Times New Roman"/>
                <w:kern w:val="0"/>
                <w:sz w:val="22"/>
                <w:szCs w:val="22"/>
                <w:lang w:val="fr-FR" w:eastAsia="fr-FR" w:bidi="ar-SA"/>
              </w:rPr>
              <w:t xml:space="preserve">insiste sur le fait que l’individu peut puiser dans plusieurs répertoires culturels (« culture plurielle ») du fait de la </w:t>
            </w:r>
            <w:r>
              <w:rPr>
                <w:rFonts w:eastAsia="Times New Roman" w:cs="Times New Roman" w:ascii="Times New Roman" w:hAnsi="Times New Roman"/>
                <w:b/>
                <w:kern w:val="0"/>
                <w:sz w:val="22"/>
                <w:szCs w:val="22"/>
                <w:lang w:val="fr-FR" w:eastAsia="fr-FR" w:bidi="ar-SA"/>
              </w:rPr>
              <w:t>pluralité des agents socialisateurs</w:t>
            </w:r>
            <w:r>
              <w:rPr>
                <w:rFonts w:eastAsia="Times New Roman" w:cs="Times New Roman" w:ascii="Times New Roman" w:hAnsi="Times New Roman"/>
                <w:kern w:val="0"/>
                <w:sz w:val="22"/>
                <w:szCs w:val="22"/>
                <w:lang w:val="fr-FR" w:eastAsia="fr-FR" w:bidi="ar-SA"/>
              </w:rPr>
              <w:t xml:space="preserve"> (famille, groupes de pairs, école, médias…) qui lui fournissent un « répertoire » de repères culturels.</w:t>
            </w:r>
          </w:p>
          <w:p>
            <w:pPr>
              <w:pStyle w:val="Normal"/>
              <w:widowControl/>
              <w:spacing w:lineRule="auto" w:line="240" w:before="0" w:after="0"/>
              <w:jc w:val="both"/>
              <w:rPr>
                <w:rFonts w:ascii="Times New Roman" w:hAnsi="Times New Roman" w:eastAsia="Times New Roman" w:cs="Times New Roman"/>
                <w:b/>
                <w:lang w:eastAsia="fr-FR"/>
              </w:rPr>
            </w:pPr>
            <w:r>
              <w:rPr>
                <w:rFonts w:eastAsia="Times New Roman" w:cs="Times New Roman" w:ascii="Times New Roman" w:hAnsi="Times New Roman"/>
                <w:b/>
                <w:kern w:val="0"/>
                <w:sz w:val="22"/>
                <w:szCs w:val="22"/>
                <w:lang w:val="fr-FR" w:eastAsia="fr-FR" w:bidi="ar-SA"/>
              </w:rPr>
              <w:t>Les individus pluriels échappent au déterminisme de leur classe sociale d’origine</w:t>
            </w:r>
            <w:r>
              <w:rPr>
                <w:rFonts w:eastAsia="Times New Roman" w:cs="Times New Roman" w:ascii="Times New Roman" w:hAnsi="Times New Roman"/>
                <w:kern w:val="0"/>
                <w:sz w:val="22"/>
                <w:szCs w:val="22"/>
                <w:lang w:val="fr-FR" w:eastAsia="fr-FR" w:bidi="ar-SA"/>
              </w:rPr>
              <w:t> : un individu peut avoir des</w:t>
            </w:r>
            <w:r>
              <w:rPr>
                <w:rFonts w:eastAsia="Times New Roman" w:cs="Times New Roman" w:ascii="Times New Roman" w:hAnsi="Times New Roman"/>
                <w:b/>
                <w:kern w:val="0"/>
                <w:sz w:val="22"/>
                <w:szCs w:val="22"/>
                <w:lang w:val="fr-FR" w:eastAsia="fr-FR" w:bidi="ar-SA"/>
              </w:rPr>
              <w:t xml:space="preserve"> pratiques « dissonantes » </w:t>
            </w:r>
            <w:r>
              <w:rPr>
                <w:rFonts w:eastAsia="Times New Roman" w:cs="Times New Roman" w:ascii="Times New Roman" w:hAnsi="Times New Roman"/>
                <w:kern w:val="0"/>
                <w:sz w:val="22"/>
                <w:szCs w:val="22"/>
                <w:lang w:val="fr-FR" w:eastAsia="fr-FR" w:bidi="ar-SA"/>
              </w:rPr>
              <w:t>par rapport à ce qu’on attendrait de lui en fonction de sa classe d’appartenance</w:t>
            </w:r>
            <w:r>
              <w:rPr>
                <w:rFonts w:eastAsia="Times New Roman" w:cs="Times New Roman" w:ascii="Times New Roman" w:hAnsi="Times New Roman"/>
                <w:kern w:val="0"/>
                <w:sz w:val="24"/>
                <w:szCs w:val="24"/>
                <w:lang w:val="fr-FR" w:eastAsia="fr-FR" w:bidi="ar-SA"/>
              </w:rPr>
              <w:t xml:space="preserve"> </w:t>
            </w:r>
            <w:r>
              <w:rPr>
                <w:rFonts w:eastAsia="Times New Roman" w:cs="Times New Roman" w:ascii="Times New Roman" w:hAnsi="Times New Roman"/>
                <w:kern w:val="0"/>
                <w:sz w:val="20"/>
                <w:szCs w:val="20"/>
                <w:lang w:val="fr-FR" w:eastAsia="fr-FR" w:bidi="ar-SA"/>
              </w:rPr>
              <w:t>(ouvrier passionné d’opéra par ex)</w:t>
            </w:r>
            <w:r>
              <w:rPr>
                <w:rFonts w:eastAsia="Times New Roman" w:cs="Times New Roman" w:ascii="Times New Roman" w:hAnsi="Times New Roman"/>
                <w:kern w:val="0"/>
                <w:sz w:val="22"/>
                <w:szCs w:val="22"/>
                <w:lang w:val="fr-FR" w:eastAsia="fr-FR" w:bidi="ar-SA"/>
              </w:rPr>
              <w:t>, ce qui</w:t>
            </w:r>
            <w:r>
              <w:rPr>
                <w:rFonts w:eastAsia="Times New Roman" w:cs="Times New Roman" w:ascii="Times New Roman" w:hAnsi="Times New Roman"/>
                <w:b/>
                <w:kern w:val="0"/>
                <w:sz w:val="22"/>
                <w:szCs w:val="22"/>
                <w:lang w:val="fr-FR" w:eastAsia="fr-FR" w:bidi="ar-SA"/>
              </w:rPr>
              <w:t xml:space="preserve"> brouille les frontières de classe</w:t>
            </w:r>
          </w:p>
          <w:p>
            <w:pPr>
              <w:pStyle w:val="Normal"/>
              <w:widowControl/>
              <w:spacing w:lineRule="auto" w:line="240" w:before="0" w:after="0"/>
              <w:jc w:val="both"/>
              <w:rPr>
                <w:rFonts w:ascii="Times New Roman" w:hAnsi="Times New Roman" w:eastAsia="Times New Roman" w:cs="Times New Roman"/>
                <w:b/>
                <w:lang w:eastAsia="fr-FR"/>
              </w:rPr>
            </w:pPr>
            <w:r>
              <w:rPr>
                <w:rFonts w:eastAsia="Times New Roman" w:cs="Times New Roman" w:ascii="Times New Roman" w:hAnsi="Times New Roman"/>
                <w:b/>
                <w:kern w:val="0"/>
                <w:sz w:val="22"/>
                <w:szCs w:val="22"/>
                <w:lang w:val="fr-FR" w:eastAsia="fr-FR" w:bidi="ar-SA"/>
              </w:rPr>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b/>
                <w:kern w:val="0"/>
                <w:sz w:val="22"/>
                <w:szCs w:val="22"/>
                <w:lang w:val="fr-FR" w:eastAsia="fr-FR" w:bidi="ar-SA"/>
              </w:rPr>
              <w:t xml:space="preserve">- </w:t>
            </w:r>
            <w:r>
              <w:rPr>
                <w:rFonts w:eastAsia="Times New Roman" w:cs="Times New Roman" w:ascii="Times New Roman" w:hAnsi="Times New Roman"/>
                <w:kern w:val="0"/>
                <w:sz w:val="22"/>
                <w:szCs w:val="22"/>
                <w:lang w:val="fr-FR" w:eastAsia="fr-FR" w:bidi="ar-SA"/>
              </w:rPr>
              <w:t xml:space="preserve">« chacun de nous se définit dans une pluralité de registres » (F.Dubet), </w:t>
            </w:r>
            <w:r>
              <w:rPr>
                <w:rFonts w:eastAsia="Times New Roman" w:cs="Times New Roman" w:ascii="Times New Roman" w:hAnsi="Times New Roman"/>
                <w:b/>
                <w:kern w:val="0"/>
                <w:sz w:val="22"/>
                <w:szCs w:val="22"/>
                <w:lang w:val="fr-FR" w:eastAsia="fr-FR" w:bidi="ar-SA"/>
              </w:rPr>
              <w:t>la définition de la position d’un individu et de la conscience qu’il s’en fait vont dépendre d’identités multiples</w:t>
            </w:r>
            <w:r>
              <w:rPr>
                <w:rFonts w:eastAsia="Times New Roman" w:cs="Times New Roman" w:ascii="Times New Roman" w:hAnsi="Times New Roman"/>
                <w:kern w:val="0"/>
                <w:sz w:val="22"/>
                <w:szCs w:val="22"/>
                <w:lang w:val="fr-FR" w:eastAsia="fr-FR" w:bidi="ar-SA"/>
              </w:rPr>
              <w:t> : identité sexuelle, ethnique mais aussi religieuse, identité liée à la qualification, à l’âge, au quartier de résidence.…</w:t>
            </w:r>
          </w:p>
          <w:p>
            <w:pPr>
              <w:pStyle w:val="Normal"/>
              <w:widowControl/>
              <w:spacing w:lineRule="auto" w:line="240" w:before="0" w:after="0"/>
              <w:jc w:val="both"/>
              <w:rPr>
                <w:rFonts w:ascii="Times New Roman" w:hAnsi="Times New Roman" w:eastAsia="Times New Roman" w:cs="Times New Roman"/>
                <w:b/>
                <w:lang w:eastAsia="fr-FR"/>
              </w:rPr>
            </w:pPr>
            <w:r>
              <w:rPr>
                <w:rFonts w:eastAsia="Times New Roman" w:cs="Times New Roman" w:ascii="Times New Roman" w:hAnsi="Times New Roman"/>
                <w:kern w:val="0"/>
                <w:sz w:val="22"/>
                <w:szCs w:val="22"/>
                <w:lang w:val="fr-FR" w:eastAsia="fr-FR" w:bidi="ar-SA"/>
              </w:rPr>
              <w:t xml:space="preserve">- </w:t>
            </w:r>
            <w:r>
              <w:rPr>
                <w:rFonts w:eastAsia="Times New Roman" w:cs="Times New Roman" w:ascii="Times New Roman" w:hAnsi="Times New Roman"/>
                <w:b/>
                <w:kern w:val="0"/>
                <w:sz w:val="22"/>
                <w:szCs w:val="22"/>
                <w:lang w:val="fr-FR" w:eastAsia="fr-FR" w:bidi="ar-SA"/>
              </w:rPr>
              <w:t>cette multiplication des dimensions de l’identité sociale brouille les frontières de classes, dont la définition ne prend pas en compte toutes ces dimensions de la vie sociale.</w:t>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kern w:val="0"/>
                <w:sz w:val="22"/>
                <w:szCs w:val="22"/>
                <w:lang w:val="fr-FR" w:eastAsia="fr-FR" w:bidi="ar-SA"/>
              </w:rPr>
            </w:r>
          </w:p>
          <w:p>
            <w:pPr>
              <w:pStyle w:val="Normal"/>
              <w:widowControl/>
              <w:spacing w:lineRule="auto" w:line="240" w:before="0" w:after="0"/>
              <w:jc w:val="both"/>
              <w:rPr>
                <w:rFonts w:ascii="Times New Roman" w:hAnsi="Times New Roman" w:eastAsia="Times New Roman" w:cs="Times New Roman"/>
                <w:lang w:eastAsia="fr-FR"/>
              </w:rPr>
            </w:pPr>
            <w:r>
              <w:rPr>
                <w:rFonts w:eastAsia="Times New Roman" w:cs="Times New Roman" w:ascii="Times New Roman" w:hAnsi="Times New Roman"/>
                <w:kern w:val="0"/>
                <w:sz w:val="22"/>
                <w:szCs w:val="22"/>
                <w:lang w:val="fr-FR" w:eastAsia="fr-FR" w:bidi="ar-SA"/>
              </w:rPr>
              <w:t xml:space="preserve">- de plus, </w:t>
            </w:r>
            <w:r>
              <w:rPr>
                <w:rFonts w:eastAsia="Times New Roman" w:cs="Times New Roman" w:ascii="Times New Roman" w:hAnsi="Times New Roman"/>
                <w:b/>
                <w:kern w:val="0"/>
                <w:sz w:val="22"/>
                <w:szCs w:val="22"/>
                <w:lang w:val="fr-FR" w:eastAsia="fr-FR" w:bidi="ar-SA"/>
              </w:rPr>
              <w:t>la multiplication des statuts sociaux et des identités ressenties à l’intérieur des classes réduit leur homogénéité et il devient difficile pour l’individu de s’identifier à une classe précise</w:t>
            </w:r>
            <w:r>
              <w:rPr>
                <w:rFonts w:eastAsia="Times New Roman" w:cs="Times New Roman" w:ascii="Times New Roman" w:hAnsi="Times New Roman"/>
                <w:kern w:val="0"/>
                <w:sz w:val="22"/>
                <w:szCs w:val="22"/>
                <w:lang w:val="fr-FR" w:eastAsia="fr-FR" w:bidi="ar-SA"/>
              </w:rPr>
              <w:t>.</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Normal"/>
        <w:spacing w:lineRule="auto" w:line="240" w:before="0" w:after="0"/>
        <w:jc w:val="both"/>
        <w:rPr/>
      </w:pPr>
      <w:r>
        <w:rPr/>
      </w:r>
    </w:p>
    <w:p>
      <w:pPr>
        <w:pStyle w:val="Normal"/>
        <w:spacing w:lineRule="auto" w:line="240" w:before="0" w:after="0"/>
        <w:jc w:val="both"/>
        <w:rPr>
          <w:sz w:val="28"/>
          <w:szCs w:val="28"/>
        </w:rPr>
      </w:pPr>
      <w:r>
        <w:rPr>
          <w:rFonts w:eastAsia="Times New Roman" w:cs="Times New Roman" w:ascii="Times New Roman" w:hAnsi="Times New Roman"/>
          <w:sz w:val="28"/>
          <w:szCs w:val="28"/>
          <w:u w:val="single"/>
          <w:lang w:eastAsia="fr-FR"/>
        </w:rPr>
        <w:t>Rappel</w:t>
      </w:r>
      <w:r>
        <w:rPr>
          <w:rFonts w:eastAsia="Times New Roman" w:cs="Times New Roman" w:ascii="Times New Roman" w:hAnsi="Times New Roman"/>
          <w:sz w:val="28"/>
          <w:szCs w:val="28"/>
          <w:lang w:eastAsia="fr-FR"/>
        </w:rPr>
        <w:t xml:space="preserve">: la </w:t>
      </w:r>
      <w:r>
        <w:rPr>
          <w:rFonts w:eastAsia="Times New Roman" w:cs="Times New Roman" w:ascii="Times New Roman" w:hAnsi="Times New Roman"/>
          <w:b/>
          <w:sz w:val="28"/>
          <w:szCs w:val="28"/>
          <w:lang w:eastAsia="fr-FR"/>
        </w:rPr>
        <w:t>moyennisation</w:t>
      </w:r>
      <w:r>
        <w:rPr>
          <w:rFonts w:eastAsia="Times New Roman" w:cs="Times New Roman" w:ascii="Times New Roman" w:hAnsi="Times New Roman"/>
          <w:sz w:val="28"/>
          <w:szCs w:val="28"/>
          <w:lang w:eastAsia="fr-FR"/>
        </w:rPr>
        <w:t xml:space="preserve">, en contribuant à </w:t>
      </w:r>
      <w:bookmarkStart w:id="0" w:name="_GoBack"/>
      <w:bookmarkEnd w:id="0"/>
      <w:r>
        <w:rPr>
          <w:rFonts w:eastAsia="Times New Roman" w:cs="Times New Roman" w:ascii="Times New Roman" w:hAnsi="Times New Roman"/>
          <w:sz w:val="28"/>
          <w:szCs w:val="28"/>
          <w:lang w:eastAsia="fr-FR"/>
        </w:rPr>
        <w:t xml:space="preserve">réduire les inégalités objectives de niveau de vie et les différences de mode de vie </w:t>
      </w:r>
      <w:r>
        <w:rPr>
          <w:rFonts w:eastAsia="Times New Roman" w:cs="Times New Roman" w:ascii="Times New Roman" w:hAnsi="Times New Roman"/>
          <w:b/>
          <w:sz w:val="28"/>
          <w:szCs w:val="28"/>
          <w:lang w:eastAsia="fr-FR"/>
        </w:rPr>
        <w:t>(réduction des distances inter-classes)</w:t>
      </w:r>
      <w:r>
        <w:rPr>
          <w:rFonts w:eastAsia="Times New Roman" w:cs="Times New Roman" w:ascii="Times New Roman" w:hAnsi="Times New Roman"/>
          <w:sz w:val="28"/>
          <w:szCs w:val="28"/>
          <w:lang w:eastAsia="fr-FR"/>
        </w:rPr>
        <w:t xml:space="preserve">, </w:t>
      </w:r>
      <w:r>
        <w:rPr>
          <w:rFonts w:eastAsia="Times New Roman" w:cs="Times New Roman" w:ascii="Times New Roman" w:hAnsi="Times New Roman"/>
          <w:b/>
          <w:sz w:val="28"/>
          <w:szCs w:val="28"/>
          <w:lang w:eastAsia="fr-FR"/>
        </w:rPr>
        <w:t xml:space="preserve">peut elle aussi être un facteur d’atténuation des frontières sociales et d’affaiblissement de la conscience de classe </w:t>
      </w:r>
      <w:r>
        <w:rPr>
          <w:rFonts w:eastAsia="Times New Roman" w:cs="Times New Roman" w:ascii="Times New Roman" w:hAnsi="Times New Roman"/>
          <w:sz w:val="28"/>
          <w:szCs w:val="28"/>
          <w:lang w:eastAsia="fr-FR"/>
        </w:rPr>
        <w:t>(voir cours)</w:t>
      </w:r>
    </w:p>
    <w:sectPr>
      <w:headerReference w:type="even" r:id="rId2"/>
      <w:headerReference w:type="default" r:id="rId3"/>
      <w:headerReference w:type="first" r:id="rId4"/>
      <w:type w:val="nextPage"/>
      <w:pgSz w:orient="landscape" w:w="16838" w:h="11906"/>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30"/>
        <w:szCs w:val="30"/>
      </w:rPr>
    </w:pPr>
    <w:r>
      <w:rPr>
        <w:rFonts w:cs="Times New Roman" w:ascii="Times New Roman" w:hAnsi="Times New Roman"/>
        <w:b/>
        <w:sz w:val="30"/>
        <w:szCs w:val="30"/>
      </w:rPr>
      <w:t>Les facteurs de brouillage des frontières de classes et d’affaiblissement de l’identification à une classe sociale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30"/>
        <w:szCs w:val="30"/>
      </w:rPr>
    </w:pPr>
    <w:r>
      <w:rPr>
        <w:rFonts w:cs="Times New Roman" w:ascii="Times New Roman" w:hAnsi="Times New Roman"/>
        <w:b/>
        <w:sz w:val="30"/>
        <w:szCs w:val="30"/>
      </w:rPr>
      <w:t>Les facteurs de brouillage des frontières de classes et d’affaiblissement de l’identification à une classe sociale</w:t>
    </w:r>
  </w:p>
</w:hdr>
</file>

<file path=word/settings.xml><?xml version="1.0" encoding="utf-8"?>
<w:settings xmlns:w="http://schemas.openxmlformats.org/wordprocessingml/2006/main">
  <w:zoom w:val="fullPage" w:percent="5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4f701b"/>
    <w:rPr/>
  </w:style>
  <w:style w:type="character" w:styleId="PieddepageCar" w:customStyle="1">
    <w:name w:val="Pied de page Car"/>
    <w:basedOn w:val="DefaultParagraphFont"/>
    <w:uiPriority w:val="99"/>
    <w:qFormat/>
    <w:rsid w:val="004f701b"/>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f701b"/>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f701b"/>
    <w:pPr>
      <w:tabs>
        <w:tab w:val="clear" w:pos="708"/>
        <w:tab w:val="center" w:pos="4536" w:leader="none"/>
        <w:tab w:val="right" w:pos="9072" w:leader="none"/>
      </w:tabs>
      <w:spacing w:lineRule="auto" w:line="240" w:before="0" w:after="0"/>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4f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LibreOffice/24.8.6.2$Windows_X86_64 LibreOffice_project/6d98ba145e9a8a39fc57bcc76981d1fb1316c60c</Application>
  <AppVersion>15.0000</AppVersion>
  <Pages>1</Pages>
  <Words>606</Words>
  <Characters>3343</Characters>
  <CharactersWithSpaces>3930</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2020-08-17T16:44:00Z</dcterms:created>
  <dc:creator>Gilles</dc:creator>
  <dc:description/>
  <dc:language>fr-FR</dc:language>
  <cp:lastModifiedBy>Gilles</cp:lastModifiedBy>
  <dcterms:modified xsi:type="dcterms:W3CDTF">2020-10-09T14:23:00Z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