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Calibri" w:hAnsi="Calibri" w:asciiTheme="minorHAnsi" w:hAnsiTheme="minorHAnsi"/>
          <w:bCs/>
          <w:color w:val="1F3864" w:themeColor="accent5" w:themeShade="80"/>
          <w:sz w:val="36"/>
        </w:rPr>
      </w:pPr>
      <w:r>
        <w:rPr>
          <w:rFonts w:ascii="Calibri" w:hAnsi="Calibri" w:asciiTheme="minorHAnsi" w:hAnsiTheme="minorHAnsi"/>
          <w:bCs/>
          <w:color w:val="1F3864" w:themeColor="accent5" w:themeShade="80"/>
          <w:sz w:val="36"/>
        </w:rPr>
        <w:t>CEC du jeudi 11 février 2016</w:t>
      </w:r>
    </w:p>
    <w:p>
      <w:pPr>
        <w:pStyle w:val="Standard"/>
        <w:jc w:val="center"/>
        <w:rPr>
          <w:rFonts w:ascii="Calibri" w:hAnsi="Calibri" w:asciiTheme="minorHAnsi" w:hAnsiTheme="minorHAnsi"/>
          <w:b/>
          <w:b/>
          <w:bCs/>
          <w:sz w:val="36"/>
        </w:rPr>
      </w:pPr>
      <w:r>
        <w:rPr>
          <w:rFonts w:ascii="Calibri" w:hAnsi="Calibri" w:asciiTheme="minorHAnsi" w:hAnsiTheme="minorHAnsi"/>
          <w:b/>
          <w:bCs/>
          <w:sz w:val="44"/>
        </w:rPr>
        <w:t>Synthèse</w:t>
      </w:r>
    </w:p>
    <w:p>
      <w:pPr>
        <w:pStyle w:val="Standard"/>
        <w:rPr/>
      </w:pPr>
      <w:r>
        <w:rPr>
          <w:rFonts w:ascii="Calibri" w:hAnsi="Calibri" w:asciiTheme="minorHAnsi" w:hAnsiTheme="minorHAnsi"/>
          <w:b/>
          <w:bCs/>
        </w:rPr>
        <w:t>Commission : Climat scolaire</w:t>
        <w:tab/>
        <w:tab/>
        <w:t xml:space="preserve"> Animateur : M. Amali</w:t>
        <w:tab/>
        <w:tab/>
        <w:t xml:space="preserve">Rapporteur : </w:t>
      </w:r>
      <w:r>
        <w:rPr>
          <w:rFonts w:ascii="Calibri" w:hAnsi="Calibri" w:asciiTheme="minorHAnsi" w:hAnsiTheme="minorHAnsi"/>
          <w:b/>
          <w:bCs/>
        </w:rPr>
        <w:t>Mr Harnais</w:t>
      </w:r>
    </w:p>
    <w:p>
      <w:pPr>
        <w:pStyle w:val="Standard"/>
        <w:rPr>
          <w:rFonts w:ascii="Calibri" w:hAnsi="Calibri" w:asciiTheme="minorHAnsi" w:hAnsiTheme="minorHAnsi"/>
          <w:b/>
          <w:b/>
          <w:bCs/>
          <w:sz w:val="16"/>
        </w:rPr>
      </w:pPr>
      <w:r>
        <w:rPr>
          <w:rFonts w:asciiTheme="minorHAnsi" w:hAnsiTheme="minorHAnsi" w:ascii="Calibri" w:hAnsi="Calibri"/>
          <w:b/>
          <w:bCs/>
          <w:sz w:val="16"/>
        </w:rPr>
        <mc:AlternateContent>
          <mc:Choice Requires="wps">
            <w:drawing>
              <wp:anchor behindDoc="1" distT="0" distB="0" distL="114300" distR="114300" simplePos="0" locked="0" layoutInCell="1" allowOverlap="1" relativeHeight="2" wp14:anchorId="06C6742F">
                <wp:simplePos x="0" y="0"/>
                <wp:positionH relativeFrom="column">
                  <wp:posOffset>-160020</wp:posOffset>
                </wp:positionH>
                <wp:positionV relativeFrom="paragraph">
                  <wp:posOffset>149225</wp:posOffset>
                </wp:positionV>
                <wp:extent cx="6779260" cy="962660"/>
                <wp:effectExtent l="0" t="0" r="22225" b="10160"/>
                <wp:wrapNone/>
                <wp:docPr id="1" name="Zone de texte 1"/>
                <a:graphic xmlns:a="http://schemas.openxmlformats.org/drawingml/2006/main">
                  <a:graphicData uri="http://schemas.microsoft.com/office/word/2010/wordprocessingShape">
                    <wps:wsp>
                      <wps:cNvSpPr/>
                      <wps:spPr>
                        <a:xfrm>
                          <a:off x="0" y="0"/>
                          <a:ext cx="6778800" cy="961920"/>
                        </a:xfrm>
                        <a:prstGeom prst="rect">
                          <a:avLst/>
                        </a:prstGeom>
                        <a:noFill/>
                        <a:ln w="6480">
                          <a:solidFill>
                            <a:srgbClr val="000000"/>
                          </a:solidFill>
                          <a:round/>
                        </a:ln>
                      </wps:spPr>
                      <wps:style>
                        <a:lnRef idx="0"/>
                        <a:fillRef idx="0"/>
                        <a:effectRef idx="0"/>
                        <a:fontRef idx="minor"/>
                      </wps:style>
                      <wps:txbx>
                        <w:txbxContent>
                          <w:p>
                            <w:pPr>
                              <w:pStyle w:val="Standard"/>
                              <w:rPr>
                                <w:rFonts w:ascii="Calibri" w:hAnsi="Calibri" w:asciiTheme="minorHAnsi" w:hAnsiTheme="minorHAnsi"/>
                                <w:b/>
                                <w:b/>
                                <w:bCs/>
                              </w:rPr>
                            </w:pPr>
                            <w:r>
                              <w:rPr>
                                <w:rFonts w:ascii="Calibri" w:hAnsi="Calibri" w:asciiTheme="minorHAnsi" w:hAnsiTheme="minorHAnsi"/>
                                <w:b/>
                                <w:bCs/>
                                <w:color w:val="auto"/>
                              </w:rPr>
                              <w:t>Axes :</w:t>
                            </w:r>
                          </w:p>
                          <w:p>
                            <w:pPr>
                              <w:pStyle w:val="ListParagraph"/>
                              <w:numPr>
                                <w:ilvl w:val="0"/>
                                <w:numId w:val="1"/>
                              </w:numPr>
                              <w:tabs>
                                <w:tab w:val="left" w:pos="220" w:leader="none"/>
                                <w:tab w:val="left" w:pos="720" w:leader="none"/>
                              </w:tabs>
                              <w:suppressAutoHyphens w:val="false"/>
                              <w:rPr>
                                <w:rFonts w:ascii="Calibri" w:hAnsi="Calibri" w:eastAsia="Times New Roman" w:asciiTheme="minorHAnsi" w:hAnsiTheme="minorHAnsi"/>
                                <w:sz w:val="22"/>
                                <w:szCs w:val="22"/>
                                <w:lang w:eastAsia="fr-FR"/>
                              </w:rPr>
                            </w:pPr>
                            <w:r>
                              <w:rPr>
                                <w:rFonts w:eastAsia="Times New Roman" w:ascii="Calibri" w:hAnsi="Calibri" w:asciiTheme="minorHAnsi" w:hAnsiTheme="minorHAnsi"/>
                                <w:color w:val="auto"/>
                                <w:sz w:val="22"/>
                                <w:szCs w:val="22"/>
                                <w:lang w:eastAsia="fr-FR"/>
                              </w:rPr>
                              <w:t xml:space="preserve">Progressivité de la règle, </w:t>
                            </w:r>
                          </w:p>
                          <w:p>
                            <w:pPr>
                              <w:pStyle w:val="ListParagraph"/>
                              <w:numPr>
                                <w:ilvl w:val="0"/>
                                <w:numId w:val="1"/>
                              </w:numPr>
                              <w:tabs>
                                <w:tab w:val="left" w:pos="220" w:leader="none"/>
                                <w:tab w:val="left" w:pos="720" w:leader="none"/>
                              </w:tabs>
                              <w:suppressAutoHyphens w:val="false"/>
                              <w:rPr>
                                <w:rFonts w:ascii="Calibri" w:hAnsi="Calibri" w:eastAsia="Times New Roman" w:asciiTheme="minorHAnsi" w:hAnsiTheme="minorHAnsi"/>
                                <w:sz w:val="22"/>
                                <w:szCs w:val="22"/>
                                <w:lang w:eastAsia="fr-FR"/>
                              </w:rPr>
                            </w:pPr>
                            <w:r>
                              <w:rPr>
                                <w:rFonts w:eastAsia="Times New Roman" w:ascii="Calibri" w:hAnsi="Calibri" w:asciiTheme="minorHAnsi" w:hAnsiTheme="minorHAnsi"/>
                                <w:color w:val="auto"/>
                                <w:sz w:val="22"/>
                                <w:szCs w:val="22"/>
                                <w:lang w:eastAsia="fr-FR"/>
                              </w:rPr>
                              <w:t xml:space="preserve">hiérarchisation des indicateurs, </w:t>
                            </w:r>
                          </w:p>
                          <w:p>
                            <w:pPr>
                              <w:pStyle w:val="ListParagraph"/>
                              <w:numPr>
                                <w:ilvl w:val="0"/>
                                <w:numId w:val="1"/>
                              </w:numPr>
                              <w:tabs>
                                <w:tab w:val="left" w:pos="220" w:leader="none"/>
                                <w:tab w:val="left" w:pos="720" w:leader="none"/>
                              </w:tabs>
                              <w:suppressAutoHyphens w:val="false"/>
                              <w:rPr>
                                <w:rFonts w:ascii="Calibri" w:hAnsi="Calibri" w:eastAsia="Times New Roman" w:asciiTheme="minorHAnsi" w:hAnsiTheme="minorHAnsi"/>
                                <w:sz w:val="22"/>
                                <w:szCs w:val="22"/>
                                <w:lang w:eastAsia="fr-FR"/>
                              </w:rPr>
                            </w:pPr>
                            <w:bookmarkStart w:id="0" w:name="_GoBack"/>
                            <w:bookmarkEnd w:id="0"/>
                            <w:r>
                              <w:rPr>
                                <w:rFonts w:eastAsia="Times New Roman" w:ascii="Calibri" w:hAnsi="Calibri" w:asciiTheme="minorHAnsi" w:hAnsiTheme="minorHAnsi"/>
                                <w:color w:val="auto"/>
                                <w:sz w:val="22"/>
                                <w:szCs w:val="22"/>
                                <w:lang w:eastAsia="fr-FR"/>
                              </w:rPr>
                              <w:t>médiation par les pairs (formation continue au sein du réseau)</w:t>
                            </w:r>
                          </w:p>
                          <w:p>
                            <w:pPr>
                              <w:pStyle w:val="Standard"/>
                              <w:rPr>
                                <w:rFonts w:ascii="Calibri" w:hAnsi="Calibri" w:asciiTheme="minorHAnsi" w:hAnsiTheme="minorHAnsi"/>
                                <w:b/>
                                <w:b/>
                                <w:bCs/>
                                <w:color w:val="auto"/>
                              </w:rPr>
                            </w:pPr>
                            <w:r>
                              <w:rPr>
                                <w:rFonts w:asciiTheme="minorHAnsi" w:hAnsiTheme="minorHAnsi" w:ascii="Calibri" w:hAnsi="Calibri"/>
                                <w:b/>
                                <w:bCs/>
                                <w:color w:val="auto"/>
                              </w:rPr>
                            </w:r>
                          </w:p>
                          <w:p>
                            <w:pPr>
                              <w:pStyle w:val="Standard"/>
                              <w:rPr>
                                <w:color w:val="auto"/>
                              </w:rPr>
                            </w:pPr>
                            <w:r>
                              <w:rPr>
                                <w:color w:val="auto"/>
                              </w:rPr>
                            </w:r>
                          </w:p>
                        </w:txbxContent>
                      </wps:txbx>
                      <wps:bodyPr>
                        <a:prstTxWarp prst="textNoShape"/>
                        <a:noAutofit/>
                      </wps:bodyPr>
                    </wps:wsp>
                  </a:graphicData>
                </a:graphic>
              </wp:anchor>
            </w:drawing>
          </mc:Choice>
          <mc:Fallback>
            <w:pict>
              <v:rect id="shape_0" ID="Zone de texte 1" stroked="t" style="position:absolute;margin-left:-12.6pt;margin-top:11.75pt;width:533.7pt;height:75.7pt" wp14:anchorId="06C6742F">
                <w10:wrap type="square"/>
                <v:fill on="false" o:detectmouseclick="t"/>
                <v:stroke color="black" weight="6480" joinstyle="round" endcap="flat"/>
                <v:textbox>
                  <w:txbxContent>
                    <w:p>
                      <w:pPr>
                        <w:pStyle w:val="Standard"/>
                        <w:rPr>
                          <w:rFonts w:ascii="Calibri" w:hAnsi="Calibri" w:asciiTheme="minorHAnsi" w:hAnsiTheme="minorHAnsi"/>
                          <w:b/>
                          <w:b/>
                          <w:bCs/>
                        </w:rPr>
                      </w:pPr>
                      <w:r>
                        <w:rPr>
                          <w:rFonts w:ascii="Calibri" w:hAnsi="Calibri" w:asciiTheme="minorHAnsi" w:hAnsiTheme="minorHAnsi"/>
                          <w:b/>
                          <w:bCs/>
                          <w:color w:val="auto"/>
                        </w:rPr>
                        <w:t>Axes :</w:t>
                      </w:r>
                    </w:p>
                    <w:p>
                      <w:pPr>
                        <w:pStyle w:val="ListParagraph"/>
                        <w:numPr>
                          <w:ilvl w:val="0"/>
                          <w:numId w:val="1"/>
                        </w:numPr>
                        <w:tabs>
                          <w:tab w:val="left" w:pos="220" w:leader="none"/>
                          <w:tab w:val="left" w:pos="720" w:leader="none"/>
                        </w:tabs>
                        <w:suppressAutoHyphens w:val="false"/>
                        <w:rPr>
                          <w:rFonts w:ascii="Calibri" w:hAnsi="Calibri" w:eastAsia="Times New Roman" w:asciiTheme="minorHAnsi" w:hAnsiTheme="minorHAnsi"/>
                          <w:sz w:val="22"/>
                          <w:szCs w:val="22"/>
                          <w:lang w:eastAsia="fr-FR"/>
                        </w:rPr>
                      </w:pPr>
                      <w:r>
                        <w:rPr>
                          <w:rFonts w:eastAsia="Times New Roman" w:ascii="Calibri" w:hAnsi="Calibri" w:asciiTheme="minorHAnsi" w:hAnsiTheme="minorHAnsi"/>
                          <w:color w:val="auto"/>
                          <w:sz w:val="22"/>
                          <w:szCs w:val="22"/>
                          <w:lang w:eastAsia="fr-FR"/>
                        </w:rPr>
                        <w:t xml:space="preserve">Progressivité de la règle, </w:t>
                      </w:r>
                    </w:p>
                    <w:p>
                      <w:pPr>
                        <w:pStyle w:val="ListParagraph"/>
                        <w:numPr>
                          <w:ilvl w:val="0"/>
                          <w:numId w:val="1"/>
                        </w:numPr>
                        <w:tabs>
                          <w:tab w:val="left" w:pos="220" w:leader="none"/>
                          <w:tab w:val="left" w:pos="720" w:leader="none"/>
                        </w:tabs>
                        <w:suppressAutoHyphens w:val="false"/>
                        <w:rPr>
                          <w:rFonts w:ascii="Calibri" w:hAnsi="Calibri" w:eastAsia="Times New Roman" w:asciiTheme="minorHAnsi" w:hAnsiTheme="minorHAnsi"/>
                          <w:sz w:val="22"/>
                          <w:szCs w:val="22"/>
                          <w:lang w:eastAsia="fr-FR"/>
                        </w:rPr>
                      </w:pPr>
                      <w:r>
                        <w:rPr>
                          <w:rFonts w:eastAsia="Times New Roman" w:ascii="Calibri" w:hAnsi="Calibri" w:asciiTheme="minorHAnsi" w:hAnsiTheme="minorHAnsi"/>
                          <w:color w:val="auto"/>
                          <w:sz w:val="22"/>
                          <w:szCs w:val="22"/>
                          <w:lang w:eastAsia="fr-FR"/>
                        </w:rPr>
                        <w:t xml:space="preserve">hiérarchisation des indicateurs, </w:t>
                      </w:r>
                    </w:p>
                    <w:p>
                      <w:pPr>
                        <w:pStyle w:val="ListParagraph"/>
                        <w:numPr>
                          <w:ilvl w:val="0"/>
                          <w:numId w:val="1"/>
                        </w:numPr>
                        <w:tabs>
                          <w:tab w:val="left" w:pos="220" w:leader="none"/>
                          <w:tab w:val="left" w:pos="720" w:leader="none"/>
                        </w:tabs>
                        <w:suppressAutoHyphens w:val="false"/>
                        <w:rPr>
                          <w:rFonts w:ascii="Calibri" w:hAnsi="Calibri" w:eastAsia="Times New Roman" w:asciiTheme="minorHAnsi" w:hAnsiTheme="minorHAnsi"/>
                          <w:sz w:val="22"/>
                          <w:szCs w:val="22"/>
                          <w:lang w:eastAsia="fr-FR"/>
                        </w:rPr>
                      </w:pPr>
                      <w:bookmarkStart w:id="1" w:name="_GoBack"/>
                      <w:bookmarkEnd w:id="1"/>
                      <w:r>
                        <w:rPr>
                          <w:rFonts w:eastAsia="Times New Roman" w:ascii="Calibri" w:hAnsi="Calibri" w:asciiTheme="minorHAnsi" w:hAnsiTheme="minorHAnsi"/>
                          <w:color w:val="auto"/>
                          <w:sz w:val="22"/>
                          <w:szCs w:val="22"/>
                          <w:lang w:eastAsia="fr-FR"/>
                        </w:rPr>
                        <w:t>médiation par les pairs (formation continue au sein du réseau)</w:t>
                      </w:r>
                    </w:p>
                    <w:p>
                      <w:pPr>
                        <w:pStyle w:val="Standard"/>
                        <w:rPr>
                          <w:rFonts w:ascii="Calibri" w:hAnsi="Calibri" w:asciiTheme="minorHAnsi" w:hAnsiTheme="minorHAnsi"/>
                          <w:b/>
                          <w:b/>
                          <w:bCs/>
                          <w:color w:val="auto"/>
                        </w:rPr>
                      </w:pPr>
                      <w:r>
                        <w:rPr>
                          <w:rFonts w:asciiTheme="minorHAnsi" w:hAnsiTheme="minorHAnsi" w:ascii="Calibri" w:hAnsi="Calibri"/>
                          <w:b/>
                          <w:bCs/>
                          <w:color w:val="auto"/>
                        </w:rPr>
                      </w:r>
                    </w:p>
                    <w:p>
                      <w:pPr>
                        <w:pStyle w:val="Standard"/>
                        <w:rPr>
                          <w:color w:val="auto"/>
                        </w:rPr>
                      </w:pPr>
                      <w:r>
                        <w:rPr>
                          <w:color w:val="auto"/>
                        </w:rPr>
                      </w:r>
                    </w:p>
                  </w:txbxContent>
                </v:textbox>
              </v:rect>
            </w:pict>
          </mc:Fallback>
        </mc:AlternateContent>
      </w:r>
    </w:p>
    <w:p>
      <w:pPr>
        <w:pStyle w:val="Standard"/>
        <w:rPr>
          <w:rFonts w:ascii="Calibri" w:hAnsi="Calibri" w:asciiTheme="minorHAnsi" w:hAnsiTheme="minorHAnsi"/>
          <w:sz w:val="2"/>
        </w:rPr>
      </w:pPr>
      <w:r>
        <w:rPr>
          <w:rFonts w:asciiTheme="minorHAnsi" w:hAnsiTheme="minorHAnsi" w:ascii="Calibri" w:hAnsi="Calibri"/>
          <w:sz w:val="2"/>
        </w:rPr>
      </w:r>
    </w:p>
    <w:p>
      <w:pPr>
        <w:pStyle w:val="Standard"/>
        <w:rPr>
          <w:rFonts w:ascii="Calibri" w:hAnsi="Calibri" w:asciiTheme="minorHAnsi" w:hAnsiTheme="minorHAnsi"/>
          <w:sz w:val="14"/>
        </w:rPr>
      </w:pPr>
      <w:r>
        <w:rPr>
          <w:rFonts w:asciiTheme="minorHAnsi" w:hAnsiTheme="minorHAnsi" w:ascii="Calibri" w:hAnsi="Calibri"/>
          <w:sz w:val="14"/>
        </w:rPr>
      </w:r>
    </w:p>
    <w:p>
      <w:pPr>
        <w:pStyle w:val="Standard"/>
        <w:rPr>
          <w:rFonts w:ascii="Calibri" w:hAnsi="Calibri" w:asciiTheme="minorHAnsi" w:hAnsiTheme="minorHAnsi"/>
          <w:sz w:val="14"/>
        </w:rPr>
      </w:pPr>
      <w:r>
        <w:rPr>
          <w:rFonts w:asciiTheme="minorHAnsi" w:hAnsiTheme="minorHAnsi" w:ascii="Calibri" w:hAnsi="Calibri"/>
          <w:sz w:val="14"/>
        </w:rPr>
      </w:r>
    </w:p>
    <w:p>
      <w:pPr>
        <w:pStyle w:val="Standard"/>
        <w:rPr>
          <w:rFonts w:ascii="Calibri" w:hAnsi="Calibri" w:asciiTheme="minorHAnsi" w:hAnsiTheme="minorHAnsi"/>
          <w:sz w:val="14"/>
        </w:rPr>
      </w:pPr>
      <w:r>
        <w:rPr>
          <w:rFonts w:asciiTheme="minorHAnsi" w:hAnsiTheme="minorHAnsi" w:ascii="Calibri" w:hAnsi="Calibri"/>
          <w:sz w:val="14"/>
        </w:rPr>
      </w:r>
    </w:p>
    <w:p>
      <w:pPr>
        <w:pStyle w:val="Standard"/>
        <w:rPr>
          <w:rFonts w:ascii="Calibri" w:hAnsi="Calibri" w:asciiTheme="minorHAnsi" w:hAnsiTheme="minorHAnsi"/>
          <w:sz w:val="14"/>
        </w:rPr>
      </w:pPr>
      <w:r>
        <w:rPr>
          <w:rFonts w:asciiTheme="minorHAnsi" w:hAnsiTheme="minorHAnsi" w:ascii="Calibri" w:hAnsi="Calibri"/>
          <w:sz w:val="14"/>
        </w:rPr>
      </w:r>
    </w:p>
    <w:p>
      <w:pPr>
        <w:pStyle w:val="Standard"/>
        <w:rPr>
          <w:rFonts w:ascii="Calibri" w:hAnsi="Calibri" w:asciiTheme="minorHAnsi" w:hAnsiTheme="minorHAnsi"/>
          <w:sz w:val="14"/>
        </w:rPr>
      </w:pPr>
      <w:r>
        <w:rPr>
          <w:rFonts w:asciiTheme="minorHAnsi" w:hAnsiTheme="minorHAnsi" w:ascii="Calibri" w:hAnsi="Calibri"/>
          <w:sz w:val="14"/>
        </w:rPr>
      </w:r>
    </w:p>
    <w:p>
      <w:pPr>
        <w:pStyle w:val="Standard"/>
        <w:rPr>
          <w:rFonts w:ascii="Calibri" w:hAnsi="Calibri" w:asciiTheme="minorHAnsi" w:hAnsiTheme="minorHAnsi"/>
          <w:sz w:val="14"/>
        </w:rPr>
      </w:pPr>
      <w:r>
        <w:rPr>
          <w:rFonts w:asciiTheme="minorHAnsi" w:hAnsiTheme="minorHAnsi" w:ascii="Calibri" w:hAnsi="Calibri"/>
          <w:sz w:val="14"/>
        </w:rPr>
      </w:r>
    </w:p>
    <w:p>
      <w:pPr>
        <w:pStyle w:val="Standard"/>
        <w:rPr>
          <w:rFonts w:ascii="Calibri" w:hAnsi="Calibri" w:asciiTheme="minorHAnsi" w:hAnsiTheme="minorHAnsi"/>
          <w:sz w:val="14"/>
        </w:rPr>
      </w:pPr>
      <w:r>
        <w:rPr>
          <w:rFonts w:asciiTheme="minorHAnsi" w:hAnsiTheme="minorHAnsi" w:ascii="Calibri" w:hAnsi="Calibri"/>
          <w:sz w:val="14"/>
        </w:rPr>
      </w:r>
    </w:p>
    <w:p>
      <w:pPr>
        <w:pStyle w:val="Standard"/>
        <w:rPr>
          <w:rFonts w:ascii="Calibri" w:hAnsi="Calibri" w:asciiTheme="minorHAnsi" w:hAnsiTheme="minorHAnsi"/>
          <w:sz w:val="14"/>
        </w:rPr>
      </w:pPr>
      <w:r>
        <w:rPr>
          <w:rFonts w:asciiTheme="minorHAnsi" w:hAnsiTheme="minorHAnsi" w:ascii="Calibri" w:hAnsi="Calibri"/>
          <w:sz w:val="14"/>
        </w:rPr>
      </w:r>
    </w:p>
    <w:p>
      <w:pPr>
        <w:pStyle w:val="Standard"/>
        <w:rPr>
          <w:rFonts w:ascii="Calibri" w:hAnsi="Calibri" w:asciiTheme="minorHAnsi" w:hAnsiTheme="minorHAnsi"/>
          <w:sz w:val="14"/>
        </w:rPr>
      </w:pPr>
      <w:r>
        <w:rPr>
          <w:rFonts w:asciiTheme="minorHAnsi" w:hAnsiTheme="minorHAnsi" w:ascii="Calibri" w:hAnsi="Calibri"/>
          <w:sz w:val="14"/>
        </w:rPr>
      </w:r>
    </w:p>
    <w:p>
      <w:pPr>
        <w:pStyle w:val="Standard"/>
        <w:rPr>
          <w:rFonts w:ascii="Calibri" w:hAnsi="Calibri" w:asciiTheme="minorHAnsi" w:hAnsiTheme="minorHAnsi"/>
          <w:b/>
          <w:b/>
          <w:bCs/>
          <w:u w:val="single"/>
        </w:rPr>
      </w:pPr>
      <w:r>
        <w:rPr>
          <w:rFonts w:asciiTheme="minorHAnsi" w:hAnsiTheme="minorHAnsi" w:ascii="Calibri" w:hAnsi="Calibri"/>
          <w:b/>
          <w:bCs/>
          <w:u w:val="single"/>
        </w:rPr>
        <mc:AlternateContent>
          <mc:Choice Requires="wps">
            <w:drawing>
              <wp:anchor behindDoc="1" distT="0" distB="0" distL="114300" distR="114300" simplePos="0" locked="0" layoutInCell="1" allowOverlap="1" relativeHeight="3" wp14:anchorId="6F2B5837">
                <wp:simplePos x="0" y="0"/>
                <wp:positionH relativeFrom="column">
                  <wp:posOffset>-160020</wp:posOffset>
                </wp:positionH>
                <wp:positionV relativeFrom="paragraph">
                  <wp:posOffset>138430</wp:posOffset>
                </wp:positionV>
                <wp:extent cx="6779260" cy="5106670"/>
                <wp:effectExtent l="0" t="0" r="22225" b="18415"/>
                <wp:wrapNone/>
                <wp:docPr id="3" name="Zone de texte 4"/>
                <a:graphic xmlns:a="http://schemas.openxmlformats.org/drawingml/2006/main">
                  <a:graphicData uri="http://schemas.microsoft.com/office/word/2010/wordprocessingShape">
                    <wps:wsp>
                      <wps:cNvSpPr/>
                      <wps:spPr>
                        <a:xfrm>
                          <a:off x="0" y="0"/>
                          <a:ext cx="6778800" cy="5105880"/>
                        </a:xfrm>
                        <a:prstGeom prst="rect">
                          <a:avLst/>
                        </a:prstGeom>
                        <a:noFill/>
                        <a:ln w="6480">
                          <a:solidFill>
                            <a:srgbClr val="000000"/>
                          </a:solidFill>
                          <a:round/>
                        </a:ln>
                      </wps:spPr>
                      <wps:style>
                        <a:lnRef idx="0"/>
                        <a:fillRef idx="0"/>
                        <a:effectRef idx="0"/>
                        <a:fontRef idx="minor"/>
                      </wps:style>
                      <wps:txbx>
                        <w:txbxContent>
                          <w:p>
                            <w:pPr>
                              <w:pStyle w:val="Standard"/>
                              <w:rPr>
                                <w:color w:val="auto"/>
                              </w:rPr>
                            </w:pPr>
                            <w:r>
                              <w:rPr>
                                <w:rFonts w:ascii="Calibri" w:hAnsi="Calibri" w:asciiTheme="minorHAnsi" w:hAnsiTheme="minorHAnsi"/>
                                <w:b/>
                                <w:bCs/>
                                <w:color w:val="auto"/>
                              </w:rPr>
                              <w:t>Actions au sein du réseau :</w:t>
                            </w:r>
                          </w:p>
                          <w:p>
                            <w:pPr>
                              <w:pStyle w:val="Standard"/>
                              <w:rPr>
                                <w:rFonts w:ascii="Calibri" w:hAnsi="Calibri" w:asciiTheme="minorHAnsi" w:hAnsiTheme="minorHAnsi"/>
                                <w:b/>
                                <w:b/>
                                <w:bCs/>
                              </w:rPr>
                            </w:pPr>
                            <w:r>
                              <w:rPr>
                                <w:color w:val="auto"/>
                              </w:rPr>
                            </w:r>
                          </w:p>
                          <w:p>
                            <w:pPr>
                              <w:pStyle w:val="Normal"/>
                              <w:jc w:val="both"/>
                              <w:rPr>
                                <w:b w:val="false"/>
                                <w:b w:val="false"/>
                                <w:bCs w:val="false"/>
                                <w:color w:val="auto"/>
                              </w:rPr>
                            </w:pPr>
                            <w:r>
                              <w:rPr>
                                <w:rFonts w:ascii="Calibri" w:hAnsi="Calibri" w:asciiTheme="minorHAnsi" w:hAnsiTheme="minorHAnsi"/>
                                <w:b w:val="false"/>
                                <w:bCs w:val="false"/>
                                <w:color w:val="auto"/>
                              </w:rPr>
                              <w:t xml:space="preserve">Après avoir partagé les règlements intérieurs de chaque école et du collège, est questionné le sens de la progressivité de la règle. Pour harmoniser et travailler un sens commun de la règle, il est proposé la constitution d’un groupe de travail, qui à la fois collecterait les outils, le règlement Galois et l’adaptation dans chaque école du règlement départemental, pour en ébaucher une sorte de « référentiel d’usage ». </w:t>
                            </w:r>
                          </w:p>
                          <w:p>
                            <w:pPr>
                              <w:pStyle w:val="Standard"/>
                              <w:rPr>
                                <w:rFonts w:ascii="Calibri" w:hAnsi="Calibri" w:asciiTheme="minorHAnsi" w:hAnsiTheme="minorHAnsi"/>
                                <w:b/>
                                <w:b/>
                                <w:bCs/>
                              </w:rPr>
                            </w:pPr>
                            <w:r>
                              <w:rPr>
                                <w:color w:val="auto"/>
                              </w:rPr>
                            </w:r>
                          </w:p>
                          <w:p>
                            <w:pPr>
                              <w:pStyle w:val="Normal"/>
                              <w:jc w:val="both"/>
                              <w:rPr/>
                            </w:pPr>
                            <w:r>
                              <w:rPr/>
                              <w:t>Sur un second volet, il y aurait à mener des actions concrètes, pour ce qui concerne plus les règles de vie, visant à la fois par exemple l’autonomie des élèves, mais aussi l’intégration de ces règles, par exemple dans la classe (tutoiement/vouvoiement …)</w:t>
                            </w:r>
                          </w:p>
                          <w:p>
                            <w:pPr>
                              <w:pStyle w:val="Normal"/>
                              <w:jc w:val="both"/>
                              <w:rPr/>
                            </w:pPr>
                            <w:r>
                              <w:rPr/>
                            </w:r>
                          </w:p>
                          <w:p>
                            <w:pPr>
                              <w:pStyle w:val="Normal"/>
                              <w:jc w:val="both"/>
                              <w:rPr/>
                            </w:pPr>
                            <w:r>
                              <w:rPr/>
                              <w:t xml:space="preserve">Pour que cela puisse se faire, il faut aussi  concevoir la démarche autour d’indicateurs. </w:t>
                            </w:r>
                            <w:r>
                              <w:rPr>
                                <w:u w:val="single"/>
                              </w:rPr>
                              <w:t>La sanction</w:t>
                            </w:r>
                            <w:r>
                              <w:rPr/>
                              <w:t xml:space="preserve"> dans sa dimension éducative, individualisation, proportionnalité et réparation. Elle s’adresse à un sujet, elle porte sur des actes, elle répare, et l’élève au travers de cette approche se répare aussi. C’est un premier indicateur</w:t>
                            </w:r>
                          </w:p>
                          <w:p>
                            <w:pPr>
                              <w:pStyle w:val="Normal"/>
                              <w:jc w:val="both"/>
                              <w:rPr/>
                            </w:pPr>
                            <w:r>
                              <w:rPr/>
                            </w:r>
                          </w:p>
                          <w:p>
                            <w:pPr>
                              <w:pStyle w:val="Normal"/>
                              <w:jc w:val="both"/>
                              <w:rPr/>
                            </w:pPr>
                            <w:r>
                              <w:rPr/>
                              <w:t xml:space="preserve">Sur un second plan, l’intérêt sur </w:t>
                            </w:r>
                            <w:r>
                              <w:rPr>
                                <w:u w:val="single"/>
                              </w:rPr>
                              <w:t>la relation</w:t>
                            </w:r>
                            <w:r>
                              <w:rPr/>
                              <w:t xml:space="preserve">, peut être un deuxième critère, relation entre élèves, entre l’élève et l’adulte, relation entre le cadre et le parcours de l’élève.  </w:t>
                            </w:r>
                          </w:p>
                          <w:p>
                            <w:pPr>
                              <w:pStyle w:val="Normal"/>
                              <w:jc w:val="both"/>
                              <w:rPr>
                                <w:color w:val="auto"/>
                              </w:rPr>
                            </w:pPr>
                            <w:r>
                              <w:rPr>
                                <w:rFonts w:ascii="Calibri" w:hAnsi="Calibri" w:asciiTheme="minorHAnsi" w:hAnsiTheme="minorHAnsi"/>
                                <w:b/>
                                <w:bCs/>
                                <w:color w:val="auto"/>
                              </w:rPr>
                              <w:t xml:space="preserve"> </w:t>
                            </w:r>
                          </w:p>
                        </w:txbxContent>
                      </wps:txbx>
                      <wps:bodyPr>
                        <a:prstTxWarp prst="textNoShape"/>
                        <a:noAutofit/>
                      </wps:bodyPr>
                    </wps:wsp>
                  </a:graphicData>
                </a:graphic>
              </wp:anchor>
            </w:drawing>
          </mc:Choice>
          <mc:Fallback>
            <w:pict>
              <v:rect id="shape_0" ID="Zone de texte 4" stroked="t" style="position:absolute;margin-left:-12.6pt;margin-top:10.9pt;width:533.7pt;height:402pt" wp14:anchorId="6F2B5837">
                <w10:wrap type="square"/>
                <v:fill on="false" o:detectmouseclick="t"/>
                <v:stroke color="black" weight="6480" joinstyle="round" endcap="flat"/>
                <v:textbox>
                  <w:txbxContent>
                    <w:p>
                      <w:pPr>
                        <w:pStyle w:val="Standard"/>
                        <w:rPr>
                          <w:color w:val="auto"/>
                        </w:rPr>
                      </w:pPr>
                      <w:r>
                        <w:rPr>
                          <w:rFonts w:ascii="Calibri" w:hAnsi="Calibri" w:asciiTheme="minorHAnsi" w:hAnsiTheme="minorHAnsi"/>
                          <w:b/>
                          <w:bCs/>
                          <w:color w:val="auto"/>
                        </w:rPr>
                        <w:t>Actions au sein du réseau :</w:t>
                      </w:r>
                    </w:p>
                    <w:p>
                      <w:pPr>
                        <w:pStyle w:val="Standard"/>
                        <w:rPr>
                          <w:rFonts w:ascii="Calibri" w:hAnsi="Calibri" w:asciiTheme="minorHAnsi" w:hAnsiTheme="minorHAnsi"/>
                          <w:b/>
                          <w:b/>
                          <w:bCs/>
                        </w:rPr>
                      </w:pPr>
                      <w:r>
                        <w:rPr>
                          <w:color w:val="auto"/>
                        </w:rPr>
                      </w:r>
                    </w:p>
                    <w:p>
                      <w:pPr>
                        <w:pStyle w:val="Normal"/>
                        <w:jc w:val="both"/>
                        <w:rPr>
                          <w:b w:val="false"/>
                          <w:b w:val="false"/>
                          <w:bCs w:val="false"/>
                          <w:color w:val="auto"/>
                        </w:rPr>
                      </w:pPr>
                      <w:r>
                        <w:rPr>
                          <w:rFonts w:ascii="Calibri" w:hAnsi="Calibri" w:asciiTheme="minorHAnsi" w:hAnsiTheme="minorHAnsi"/>
                          <w:b w:val="false"/>
                          <w:bCs w:val="false"/>
                          <w:color w:val="auto"/>
                        </w:rPr>
                        <w:t xml:space="preserve">Après avoir partagé les règlements intérieurs de chaque école et du collège, est questionné le sens de la progressivité de la règle. Pour harmoniser et travailler un sens commun de la règle, il est proposé la constitution d’un groupe de travail, qui à la fois collecterait les outils, le règlement Galois et l’adaptation dans chaque école du règlement départemental, pour en ébaucher une sorte de « référentiel d’usage ». </w:t>
                      </w:r>
                    </w:p>
                    <w:p>
                      <w:pPr>
                        <w:pStyle w:val="Standard"/>
                        <w:rPr>
                          <w:rFonts w:ascii="Calibri" w:hAnsi="Calibri" w:asciiTheme="minorHAnsi" w:hAnsiTheme="minorHAnsi"/>
                          <w:b/>
                          <w:b/>
                          <w:bCs/>
                        </w:rPr>
                      </w:pPr>
                      <w:r>
                        <w:rPr>
                          <w:color w:val="auto"/>
                        </w:rPr>
                      </w:r>
                    </w:p>
                    <w:p>
                      <w:pPr>
                        <w:pStyle w:val="Normal"/>
                        <w:jc w:val="both"/>
                        <w:rPr/>
                      </w:pPr>
                      <w:r>
                        <w:rPr/>
                        <w:t>Sur un second volet, il y aurait à mener des actions concrètes, pour ce qui concerne plus les règles de vie, visant à la fois par exemple l’autonomie des élèves, mais aussi l’intégration de ces règles, par exemple dans la classe (tutoiement/vouvoiement …)</w:t>
                      </w:r>
                    </w:p>
                    <w:p>
                      <w:pPr>
                        <w:pStyle w:val="Normal"/>
                        <w:jc w:val="both"/>
                        <w:rPr/>
                      </w:pPr>
                      <w:r>
                        <w:rPr/>
                      </w:r>
                    </w:p>
                    <w:p>
                      <w:pPr>
                        <w:pStyle w:val="Normal"/>
                        <w:jc w:val="both"/>
                        <w:rPr/>
                      </w:pPr>
                      <w:r>
                        <w:rPr/>
                        <w:t xml:space="preserve">Pour que cela puisse se faire, il faut aussi  concevoir la démarche autour d’indicateurs. </w:t>
                      </w:r>
                      <w:r>
                        <w:rPr>
                          <w:u w:val="single"/>
                        </w:rPr>
                        <w:t>La sanction</w:t>
                      </w:r>
                      <w:r>
                        <w:rPr/>
                        <w:t xml:space="preserve"> dans sa dimension éducative, individualisation, proportionnalité et réparation. Elle s’adresse à un sujet, elle porte sur des actes, elle répare, et l’élève au travers de cette approche se répare aussi. C’est un premier indicateur</w:t>
                      </w:r>
                    </w:p>
                    <w:p>
                      <w:pPr>
                        <w:pStyle w:val="Normal"/>
                        <w:jc w:val="both"/>
                        <w:rPr/>
                      </w:pPr>
                      <w:r>
                        <w:rPr/>
                      </w:r>
                    </w:p>
                    <w:p>
                      <w:pPr>
                        <w:pStyle w:val="Normal"/>
                        <w:jc w:val="both"/>
                        <w:rPr/>
                      </w:pPr>
                      <w:r>
                        <w:rPr/>
                        <w:t xml:space="preserve">Sur un second plan, l’intérêt sur </w:t>
                      </w:r>
                      <w:r>
                        <w:rPr>
                          <w:u w:val="single"/>
                        </w:rPr>
                        <w:t>la relation</w:t>
                      </w:r>
                      <w:r>
                        <w:rPr/>
                        <w:t xml:space="preserve">, peut être un deuxième critère, relation entre élèves, entre l’élève et l’adulte, relation entre le cadre et le parcours de l’élève.  </w:t>
                      </w:r>
                    </w:p>
                    <w:p>
                      <w:pPr>
                        <w:pStyle w:val="Normal"/>
                        <w:jc w:val="both"/>
                        <w:rPr>
                          <w:color w:val="auto"/>
                        </w:rPr>
                      </w:pPr>
                      <w:r>
                        <w:rPr>
                          <w:rFonts w:ascii="Calibri" w:hAnsi="Calibri" w:asciiTheme="minorHAnsi" w:hAnsiTheme="minorHAnsi"/>
                          <w:b/>
                          <w:bCs/>
                          <w:color w:val="auto"/>
                        </w:rPr>
                        <w:t xml:space="preserve"> </w:t>
                      </w:r>
                    </w:p>
                  </w:txbxContent>
                </v:textbox>
              </v:rect>
            </w:pict>
          </mc:Fallback>
        </mc:AlternateContent>
      </w:r>
    </w:p>
    <w:p>
      <w:pPr>
        <w:pStyle w:val="Standard"/>
        <w:rPr>
          <w:rFonts w:ascii="Calibri" w:hAnsi="Calibri" w:asciiTheme="minorHAnsi" w:hAnsiTheme="minorHAnsi"/>
          <w:b/>
          <w:b/>
          <w:bCs/>
          <w:u w:val="single"/>
        </w:rPr>
      </w:pPr>
      <w:r>
        <w:rPr>
          <w:rFonts w:asciiTheme="minorHAnsi" w:hAnsiTheme="minorHAnsi" w:ascii="Calibri" w:hAnsi="Calibri"/>
          <w:b/>
          <w:bCs/>
          <w:u w:val="single"/>
        </w:rPr>
      </w:r>
    </w:p>
    <w:p>
      <w:pPr>
        <w:pStyle w:val="Standard"/>
        <w:rPr>
          <w:rFonts w:ascii="Calibri" w:hAnsi="Calibri" w:asciiTheme="minorHAnsi" w:hAnsiTheme="minorHAnsi"/>
          <w:b/>
          <w:b/>
          <w:bCs/>
          <w:u w:val="single"/>
        </w:rPr>
      </w:pPr>
      <w:r>
        <w:rPr>
          <w:rFonts w:asciiTheme="minorHAnsi" w:hAnsiTheme="minorHAnsi" w:ascii="Calibri" w:hAnsi="Calibri"/>
          <w:b/>
          <w:bCs/>
          <w:u w:val="single"/>
        </w:rPr>
      </w:r>
    </w:p>
    <w:p>
      <w:pPr>
        <w:pStyle w:val="Standard"/>
        <w:rPr>
          <w:rFonts w:ascii="Calibri" w:hAnsi="Calibri" w:asciiTheme="minorHAnsi" w:hAnsiTheme="minorHAnsi"/>
          <w:b/>
          <w:b/>
          <w:bCs/>
          <w:u w:val="single"/>
        </w:rPr>
      </w:pPr>
      <w:r>
        <w:rPr>
          <w:rFonts w:asciiTheme="minorHAnsi" w:hAnsiTheme="minorHAnsi" w:ascii="Calibri" w:hAnsi="Calibri"/>
          <w:b/>
          <w:bCs/>
          <w:u w:val="single"/>
        </w:rPr>
      </w:r>
    </w:p>
    <w:p>
      <w:pPr>
        <w:pStyle w:val="Standard"/>
        <w:rPr>
          <w:rFonts w:ascii="Calibri" w:hAnsi="Calibri" w:asciiTheme="minorHAnsi" w:hAnsiTheme="minorHAnsi"/>
          <w:b/>
          <w:b/>
          <w:bCs/>
          <w:u w:val="single"/>
        </w:rPr>
      </w:pPr>
      <w:r>
        <w:rPr>
          <w:rFonts w:asciiTheme="minorHAnsi" w:hAnsiTheme="minorHAnsi" w:ascii="Calibri" w:hAnsi="Calibri"/>
          <w:b/>
          <w:bCs/>
          <w:u w:val="single"/>
        </w:rPr>
      </w:r>
    </w:p>
    <w:p>
      <w:pPr>
        <w:pStyle w:val="Standard"/>
        <w:rPr>
          <w:rFonts w:ascii="Calibri" w:hAnsi="Calibri" w:asciiTheme="minorHAnsi" w:hAnsiTheme="minorHAnsi"/>
          <w:b/>
          <w:b/>
          <w:bCs/>
          <w:u w:val="single"/>
        </w:rPr>
      </w:pPr>
      <w:r>
        <w:rPr>
          <w:rFonts w:asciiTheme="minorHAnsi" w:hAnsiTheme="minorHAnsi" w:ascii="Calibri" w:hAnsi="Calibri"/>
          <w:b/>
          <w:bCs/>
          <w:u w:val="single"/>
        </w:rPr>
      </w:r>
    </w:p>
    <w:p>
      <w:pPr>
        <w:pStyle w:val="Standard"/>
        <w:rPr>
          <w:rFonts w:ascii="Calibri" w:hAnsi="Calibri" w:asciiTheme="minorHAnsi" w:hAnsiTheme="minorHAnsi"/>
          <w:b/>
          <w:b/>
          <w:bCs/>
          <w:u w:val="single"/>
        </w:rPr>
      </w:pPr>
      <w:r>
        <w:rPr>
          <w:rFonts w:asciiTheme="minorHAnsi" w:hAnsiTheme="minorHAnsi" w:ascii="Calibri" w:hAnsi="Calibri"/>
          <w:b/>
          <w:bCs/>
          <w:u w:val="single"/>
        </w:rPr>
      </w:r>
    </w:p>
    <w:p>
      <w:pPr>
        <w:pStyle w:val="Standard"/>
        <w:rPr>
          <w:rFonts w:ascii="Calibri" w:hAnsi="Calibri" w:asciiTheme="minorHAnsi" w:hAnsiTheme="minorHAnsi"/>
          <w:b/>
          <w:b/>
          <w:bCs/>
          <w:u w:val="single"/>
        </w:rPr>
      </w:pPr>
      <w:r>
        <w:rPr>
          <w:rFonts w:asciiTheme="minorHAnsi" w:hAnsiTheme="minorHAnsi" w:ascii="Calibri" w:hAnsi="Calibri"/>
          <w:b/>
          <w:bCs/>
          <w:u w:val="single"/>
        </w:rPr>
      </w:r>
    </w:p>
    <w:p>
      <w:pPr>
        <w:pStyle w:val="Standard"/>
        <w:rPr>
          <w:rFonts w:ascii="Calibri" w:hAnsi="Calibri" w:asciiTheme="minorHAnsi" w:hAnsiTheme="minorHAnsi"/>
          <w:b/>
          <w:b/>
          <w:bCs/>
          <w:u w:val="single"/>
        </w:rPr>
      </w:pPr>
      <w:r>
        <w:rPr>
          <w:rFonts w:asciiTheme="minorHAnsi" w:hAnsiTheme="minorHAnsi" w:ascii="Calibri" w:hAnsi="Calibri"/>
          <w:b/>
          <w:bCs/>
          <w:u w:val="single"/>
        </w:rPr>
      </w:r>
    </w:p>
    <w:p>
      <w:pPr>
        <w:pStyle w:val="Standard"/>
        <w:rPr>
          <w:rFonts w:ascii="Calibri" w:hAnsi="Calibri" w:asciiTheme="minorHAnsi" w:hAnsiTheme="minorHAnsi"/>
          <w:b/>
          <w:b/>
          <w:bCs/>
          <w:u w:val="single"/>
        </w:rPr>
      </w:pPr>
      <w:r>
        <w:rPr>
          <w:rFonts w:asciiTheme="minorHAnsi" w:hAnsiTheme="minorHAnsi" w:ascii="Calibri" w:hAnsi="Calibri"/>
          <w:b/>
          <w:bCs/>
          <w:u w:val="single"/>
        </w:rPr>
      </w:r>
    </w:p>
    <w:p>
      <w:pPr>
        <w:pStyle w:val="Standard"/>
        <w:rPr/>
      </w:pPr>
      <w:r>
        <w:rPr/>
        <mc:AlternateContent>
          <mc:Choice Requires="wps">
            <w:drawing>
              <wp:anchor behindDoc="1" distT="0" distB="0" distL="114300" distR="114300" simplePos="0" locked="0" layoutInCell="1" allowOverlap="1" relativeHeight="4" wp14:anchorId="2C299729">
                <wp:simplePos x="0" y="0"/>
                <wp:positionH relativeFrom="column">
                  <wp:posOffset>-160020</wp:posOffset>
                </wp:positionH>
                <wp:positionV relativeFrom="paragraph">
                  <wp:posOffset>3491230</wp:posOffset>
                </wp:positionV>
                <wp:extent cx="6779895" cy="2683510"/>
                <wp:effectExtent l="0" t="0" r="22225" b="22225"/>
                <wp:wrapNone/>
                <wp:docPr id="5" name="Zone de texte 5"/>
                <a:graphic xmlns:a="http://schemas.openxmlformats.org/drawingml/2006/main">
                  <a:graphicData uri="http://schemas.microsoft.com/office/word/2010/wordprocessingShape">
                    <wps:wsp>
                      <wps:cNvSpPr/>
                      <wps:spPr>
                        <a:xfrm>
                          <a:off x="0" y="0"/>
                          <a:ext cx="6779160" cy="2682720"/>
                        </a:xfrm>
                        <a:prstGeom prst="rect">
                          <a:avLst/>
                        </a:prstGeom>
                        <a:noFill/>
                        <a:ln w="6480">
                          <a:solidFill>
                            <a:srgbClr val="000000"/>
                          </a:solidFill>
                          <a:round/>
                        </a:ln>
                      </wps:spPr>
                      <wps:style>
                        <a:lnRef idx="0"/>
                        <a:fillRef idx="0"/>
                        <a:effectRef idx="0"/>
                        <a:fontRef idx="minor"/>
                      </wps:style>
                      <wps:txbx>
                        <w:txbxContent>
                          <w:p>
                            <w:pPr>
                              <w:pStyle w:val="Standard"/>
                              <w:rPr>
                                <w:rFonts w:ascii="Calibri" w:hAnsi="Calibri" w:asciiTheme="minorHAnsi" w:hAnsiTheme="minorHAnsi"/>
                                <w:b/>
                                <w:b/>
                                <w:bCs/>
                                <w:u w:val="single"/>
                              </w:rPr>
                            </w:pPr>
                            <w:r>
                              <w:rPr>
                                <w:rFonts w:ascii="Calibri" w:hAnsi="Calibri" w:asciiTheme="minorHAnsi" w:hAnsiTheme="minorHAnsi"/>
                                <w:b/>
                                <w:bCs/>
                                <w:color w:val="auto"/>
                                <w:u w:val="single"/>
                              </w:rPr>
                              <w:t>Programmation</w:t>
                            </w:r>
                          </w:p>
                          <w:p>
                            <w:pPr>
                              <w:pStyle w:val="Normal"/>
                              <w:jc w:val="both"/>
                              <w:rPr>
                                <w:b w:val="false"/>
                                <w:b w:val="false"/>
                                <w:bCs w:val="false"/>
                                <w:color w:val="auto"/>
                              </w:rPr>
                            </w:pPr>
                            <w:r>
                              <w:rPr>
                                <w:rFonts w:ascii="Calibri" w:hAnsi="Calibri" w:asciiTheme="minorHAnsi" w:hAnsiTheme="minorHAnsi"/>
                                <w:b w:val="false"/>
                                <w:bCs w:val="false"/>
                                <w:color w:val="auto"/>
                              </w:rPr>
                              <w:t>Il est noté que dans les écoles du REP+, et dans le collège tout particulièrement, est mis en place une médiation par les pairs. Celle-ci est facteur d’amélioration du climat scolaire, et demanderait peut-être une continuité en termes de formation, d’échanges entre écoles.</w:t>
                            </w:r>
                          </w:p>
                          <w:p>
                            <w:pPr>
                              <w:pStyle w:val="Standard"/>
                              <w:rPr>
                                <w:rFonts w:ascii="Calibri" w:hAnsi="Calibri" w:asciiTheme="minorHAnsi" w:hAnsiTheme="minorHAnsi"/>
                                <w:b/>
                                <w:b/>
                                <w:bCs/>
                              </w:rPr>
                            </w:pPr>
                            <w:r>
                              <w:rPr>
                                <w:color w:val="auto"/>
                              </w:rPr>
                            </w:r>
                          </w:p>
                          <w:p>
                            <w:pPr>
                              <w:pStyle w:val="Standard"/>
                              <w:rPr>
                                <w:rFonts w:ascii="Calibri" w:hAnsi="Calibri" w:asciiTheme="minorHAnsi" w:hAnsiTheme="minorHAnsi"/>
                                <w:b/>
                                <w:b/>
                                <w:bCs/>
                              </w:rPr>
                            </w:pPr>
                            <w:r>
                              <w:rPr>
                                <w:color w:val="auto"/>
                              </w:rPr>
                            </w:r>
                          </w:p>
                        </w:txbxContent>
                      </wps:txbx>
                      <wps:bodyPr>
                        <a:prstTxWarp prst="textNoShape"/>
                        <a:noAutofit/>
                      </wps:bodyPr>
                    </wps:wsp>
                  </a:graphicData>
                </a:graphic>
              </wp:anchor>
            </w:drawing>
          </mc:Choice>
          <mc:Fallback>
            <w:pict>
              <v:rect id="shape_0" ID="Zone de texte 5" stroked="t" style="position:absolute;margin-left:-12.6pt;margin-top:274.9pt;width:533.75pt;height:211.2pt" wp14:anchorId="2C299729">
                <w10:wrap type="square"/>
                <v:fill on="false" o:detectmouseclick="t"/>
                <v:stroke color="black" weight="6480" joinstyle="round" endcap="flat"/>
                <v:textbox>
                  <w:txbxContent>
                    <w:p>
                      <w:pPr>
                        <w:pStyle w:val="Standard"/>
                        <w:rPr>
                          <w:rFonts w:ascii="Calibri" w:hAnsi="Calibri" w:asciiTheme="minorHAnsi" w:hAnsiTheme="minorHAnsi"/>
                          <w:b/>
                          <w:b/>
                          <w:bCs/>
                          <w:u w:val="single"/>
                        </w:rPr>
                      </w:pPr>
                      <w:r>
                        <w:rPr>
                          <w:rFonts w:ascii="Calibri" w:hAnsi="Calibri" w:asciiTheme="minorHAnsi" w:hAnsiTheme="minorHAnsi"/>
                          <w:b/>
                          <w:bCs/>
                          <w:color w:val="auto"/>
                          <w:u w:val="single"/>
                        </w:rPr>
                        <w:t>Programmation</w:t>
                      </w:r>
                    </w:p>
                    <w:p>
                      <w:pPr>
                        <w:pStyle w:val="Normal"/>
                        <w:jc w:val="both"/>
                        <w:rPr>
                          <w:b w:val="false"/>
                          <w:b w:val="false"/>
                          <w:bCs w:val="false"/>
                          <w:color w:val="auto"/>
                        </w:rPr>
                      </w:pPr>
                      <w:r>
                        <w:rPr>
                          <w:rFonts w:ascii="Calibri" w:hAnsi="Calibri" w:asciiTheme="minorHAnsi" w:hAnsiTheme="minorHAnsi"/>
                          <w:b w:val="false"/>
                          <w:bCs w:val="false"/>
                          <w:color w:val="auto"/>
                        </w:rPr>
                        <w:t>Il est noté que dans les écoles du REP+, et dans le collège tout particulièrement, est mis en place une médiation par les pairs. Celle-ci est facteur d’amélioration du climat scolaire, et demanderait peut-être une continuité en termes de formation, d’échanges entre écoles.</w:t>
                      </w:r>
                    </w:p>
                    <w:p>
                      <w:pPr>
                        <w:pStyle w:val="Standard"/>
                        <w:rPr>
                          <w:rFonts w:ascii="Calibri" w:hAnsi="Calibri" w:asciiTheme="minorHAnsi" w:hAnsiTheme="minorHAnsi"/>
                          <w:b/>
                          <w:b/>
                          <w:bCs/>
                        </w:rPr>
                      </w:pPr>
                      <w:r>
                        <w:rPr>
                          <w:color w:val="auto"/>
                        </w:rPr>
                      </w:r>
                    </w:p>
                    <w:p>
                      <w:pPr>
                        <w:pStyle w:val="Standard"/>
                        <w:rPr>
                          <w:rFonts w:ascii="Calibri" w:hAnsi="Calibri" w:asciiTheme="minorHAnsi" w:hAnsiTheme="minorHAnsi"/>
                          <w:b/>
                          <w:b/>
                          <w:bCs/>
                        </w:rPr>
                      </w:pPr>
                      <w:r>
                        <w:rPr>
                          <w:color w:val="auto"/>
                        </w:rPr>
                      </w:r>
                    </w:p>
                  </w:txbxContent>
                </v:textbox>
              </v:rect>
            </w:pict>
          </mc:Fallback>
        </mc:AlternateContent>
      </w:r>
    </w:p>
    <w:sectPr>
      <w:type w:val="nextPage"/>
      <w:pgSz w:w="11906" w:h="16838"/>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Arial">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9" w:hanging="360"/>
      </w:pPr>
      <w:rPr>
        <w:rFonts w:ascii="Calibri" w:hAnsi="Calibri" w:cs="Calibri" w:hint="default"/>
        <w:sz w:val="22"/>
        <w:b/>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SimSun" w:cs="Mangal"/>
      <w:color w:val="auto"/>
      <w:sz w:val="24"/>
      <w:szCs w:val="24"/>
      <w:lang w:val="fr-FR" w:eastAsia="zh-CN" w:bidi="hi-IN"/>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521dc5"/>
    <w:rPr>
      <w:rFonts w:ascii="Segoe UI" w:hAnsi="Segoe UI"/>
      <w:sz w:val="18"/>
      <w:szCs w:val="16"/>
    </w:rPr>
  </w:style>
  <w:style w:type="character" w:styleId="ListLabel1">
    <w:name w:val="ListLabel 1"/>
    <w:qFormat/>
    <w:rPr>
      <w:rFonts w:eastAsia="SimSun" w:cs="Mangal"/>
      <w:b/>
      <w:sz w:val="22"/>
    </w:rPr>
  </w:style>
  <w:style w:type="character" w:styleId="ListLabel2">
    <w:name w:val="ListLabel 2"/>
    <w:qFormat/>
    <w:rPr>
      <w:rFonts w:cs="Courier New"/>
    </w:rPr>
  </w:style>
  <w:style w:type="paragraph" w:styleId="Titre" w:customStyle="1">
    <w:name w:val="Titre"/>
    <w:basedOn w:val="Standard"/>
    <w:next w:val="Corpsdetexte"/>
    <w:qFormat/>
    <w:pPr>
      <w:keepNext/>
      <w:spacing w:before="240" w:after="120"/>
    </w:pPr>
    <w:rPr>
      <w:rFonts w:ascii="Arial" w:hAnsi="Arial" w:eastAsia="Microsoft YaHei"/>
      <w:sz w:val="28"/>
      <w:szCs w:val="28"/>
    </w:rPr>
  </w:style>
  <w:style w:type="paragraph" w:styleId="Corpsdetexte">
    <w:name w:val="Corps de texte"/>
    <w:basedOn w:val="Normal"/>
    <w:pPr>
      <w:spacing w:lineRule="auto" w:line="288" w:before="0" w:after="140"/>
    </w:pPr>
    <w:rPr/>
  </w:style>
  <w:style w:type="paragraph" w:styleId="Liste">
    <w:name w:val="Liste"/>
    <w:basedOn w:val="Textbody"/>
    <w:pPr/>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jc w:val="left"/>
      <w:textAlignment w:val="baseline"/>
    </w:pPr>
    <w:rPr>
      <w:rFonts w:ascii="Times New Roman" w:hAnsi="Times New Roman" w:eastAsia="SimSun" w:cs="Mangal"/>
      <w:color w:val="auto"/>
      <w:sz w:val="24"/>
      <w:szCs w:val="24"/>
      <w:lang w:val="fr-FR"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Contenudecadre" w:customStyle="1">
    <w:name w:val="Contenu de cadre"/>
    <w:basedOn w:val="Textbody"/>
    <w:qFormat/>
    <w:pPr/>
    <w:rPr/>
  </w:style>
  <w:style w:type="paragraph" w:styleId="Contenudetableau" w:customStyle="1">
    <w:name w:val="Contenu de tableau"/>
    <w:basedOn w:val="Standard"/>
    <w:qFormat/>
    <w:pPr>
      <w:suppressLineNumbers/>
    </w:pPr>
    <w:rPr/>
  </w:style>
  <w:style w:type="paragraph" w:styleId="BalloonText">
    <w:name w:val="Balloon Text"/>
    <w:basedOn w:val="Normal"/>
    <w:link w:val="TextedebullesCar"/>
    <w:uiPriority w:val="99"/>
    <w:semiHidden/>
    <w:unhideWhenUsed/>
    <w:qFormat/>
    <w:rsid w:val="00521dc5"/>
    <w:pPr/>
    <w:rPr>
      <w:rFonts w:ascii="Segoe UI" w:hAnsi="Segoe UI"/>
      <w:sz w:val="18"/>
      <w:szCs w:val="16"/>
    </w:rPr>
  </w:style>
  <w:style w:type="paragraph" w:styleId="ListParagraph">
    <w:name w:val="List Paragraph"/>
    <w:basedOn w:val="Normal"/>
    <w:uiPriority w:val="34"/>
    <w:qFormat/>
    <w:rsid w:val="00521dc5"/>
    <w:pPr>
      <w:spacing w:before="0" w:after="0"/>
      <w:ind w:left="720" w:hanging="0"/>
      <w:contextualSpacing/>
    </w:pPr>
    <w:rPr>
      <w:szCs w:val="21"/>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Application>LibreOffice/4.4.2.2$Windows_x86 LibreOffice_project/c4c7d32d0d49397cad38d62472b0bc8acff48dd6</Application>
  <Paragraphs>15</Paragraphs>
  <Company>"ENC92"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2016-02-11T12:36:00Z</dcterms:created>
  <dc:creator>vincent.cornu</dc:creator>
  <dc:language>fr-FR</dc:language>
  <cp:lastPrinted>2016-02-11T12:32:00Z</cp:lastPrinted>
  <dcterms:modified xsi:type="dcterms:W3CDTF">2016-03-07T11:48:58Z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"ENC92"</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