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52D" w:rsidRPr="00C83F81" w:rsidRDefault="00A967F0" w:rsidP="00C83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rench Script MT" w:hAnsi="French Script MT"/>
          <w:sz w:val="44"/>
        </w:rPr>
      </w:pPr>
      <w:r>
        <w:rPr>
          <w:rFonts w:ascii="French Script MT" w:hAnsi="French Script MT"/>
          <w:sz w:val="44"/>
        </w:rPr>
        <w:t>Séance n°6</w:t>
      </w:r>
      <w:r w:rsidR="00C83F81" w:rsidRPr="00C83F81">
        <w:rPr>
          <w:rFonts w:ascii="French Script MT" w:hAnsi="French Script MT"/>
          <w:sz w:val="44"/>
        </w:rPr>
        <w:t xml:space="preserve"> – </w:t>
      </w:r>
      <w:r>
        <w:rPr>
          <w:rFonts w:ascii="French Script MT" w:hAnsi="French Script MT"/>
          <w:sz w:val="44"/>
        </w:rPr>
        <w:t xml:space="preserve">Evaluation </w:t>
      </w:r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4"/>
        <w:gridCol w:w="2204"/>
      </w:tblGrid>
      <w:tr w:rsidR="00C83F81" w:rsidTr="00C83F81">
        <w:tc>
          <w:tcPr>
            <w:tcW w:w="8784" w:type="dxa"/>
          </w:tcPr>
          <w:p w:rsidR="00C83F81" w:rsidRDefault="00C83F81" w:rsidP="00C83F81">
            <w:r w:rsidRPr="00C83F81">
              <w:rPr>
                <w:b/>
              </w:rPr>
              <w:t>Niveau de classe</w:t>
            </w:r>
            <w:r>
              <w:t> : Grande Section – cycle 1</w:t>
            </w:r>
          </w:p>
        </w:tc>
        <w:tc>
          <w:tcPr>
            <w:tcW w:w="2204" w:type="dxa"/>
          </w:tcPr>
          <w:p w:rsidR="00C83F81" w:rsidRDefault="00C83F81">
            <w:r w:rsidRPr="00C83F81">
              <w:rPr>
                <w:b/>
              </w:rPr>
              <w:t>Année</w:t>
            </w:r>
            <w:r>
              <w:t> : 2016-2017</w:t>
            </w:r>
          </w:p>
        </w:tc>
      </w:tr>
      <w:tr w:rsidR="00C83F81" w:rsidTr="00FE59F0">
        <w:tc>
          <w:tcPr>
            <w:tcW w:w="10988" w:type="dxa"/>
            <w:gridSpan w:val="2"/>
          </w:tcPr>
          <w:p w:rsidR="00C83F81" w:rsidRDefault="00C83F81">
            <w:r w:rsidRPr="00C83F81">
              <w:rPr>
                <w:b/>
              </w:rPr>
              <w:t>Effectif</w:t>
            </w:r>
            <w:r>
              <w:t xml:space="preserve"> : 26 élèves </w:t>
            </w:r>
          </w:p>
        </w:tc>
      </w:tr>
    </w:tbl>
    <w:p w:rsidR="00C83F81" w:rsidRDefault="00C83F81"/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3539"/>
        <w:gridCol w:w="3827"/>
        <w:gridCol w:w="3686"/>
      </w:tblGrid>
      <w:tr w:rsidR="00C83F81" w:rsidTr="00C83F81">
        <w:tc>
          <w:tcPr>
            <w:tcW w:w="3539" w:type="dxa"/>
            <w:shd w:val="clear" w:color="auto" w:fill="E7E6E6" w:themeFill="background2"/>
          </w:tcPr>
          <w:p w:rsidR="00C83F81" w:rsidRPr="00C83F81" w:rsidRDefault="00C83F81" w:rsidP="00C83F81">
            <w:pPr>
              <w:jc w:val="center"/>
              <w:rPr>
                <w:rFonts w:ascii="French Script MT" w:hAnsi="French Script MT"/>
                <w:b/>
                <w:sz w:val="52"/>
              </w:rPr>
            </w:pPr>
            <w:r w:rsidRPr="00C83F81">
              <w:rPr>
                <w:rFonts w:ascii="French Script MT" w:hAnsi="French Script MT"/>
                <w:b/>
                <w:sz w:val="52"/>
              </w:rPr>
              <w:t>Objectifs</w:t>
            </w:r>
          </w:p>
        </w:tc>
        <w:tc>
          <w:tcPr>
            <w:tcW w:w="3827" w:type="dxa"/>
            <w:shd w:val="clear" w:color="auto" w:fill="E7E6E6" w:themeFill="background2"/>
          </w:tcPr>
          <w:p w:rsidR="00C83F81" w:rsidRPr="00C83F81" w:rsidRDefault="00C83F81" w:rsidP="00C83F81">
            <w:pPr>
              <w:jc w:val="center"/>
              <w:rPr>
                <w:rFonts w:ascii="French Script MT" w:hAnsi="French Script MT"/>
                <w:b/>
                <w:sz w:val="52"/>
              </w:rPr>
            </w:pPr>
            <w:r w:rsidRPr="00C83F81">
              <w:rPr>
                <w:rFonts w:ascii="French Script MT" w:hAnsi="French Script MT"/>
                <w:b/>
                <w:sz w:val="52"/>
              </w:rPr>
              <w:t>Compétences</w:t>
            </w:r>
          </w:p>
        </w:tc>
        <w:tc>
          <w:tcPr>
            <w:tcW w:w="3686" w:type="dxa"/>
            <w:shd w:val="clear" w:color="auto" w:fill="E7E6E6" w:themeFill="background2"/>
          </w:tcPr>
          <w:p w:rsidR="00C83F81" w:rsidRPr="00C83F81" w:rsidRDefault="00C83F81" w:rsidP="00C83F81">
            <w:pPr>
              <w:jc w:val="center"/>
              <w:rPr>
                <w:rFonts w:ascii="French Script MT" w:hAnsi="French Script MT"/>
                <w:b/>
                <w:sz w:val="52"/>
              </w:rPr>
            </w:pPr>
            <w:r w:rsidRPr="00C83F81">
              <w:rPr>
                <w:rFonts w:ascii="French Script MT" w:hAnsi="French Script MT"/>
                <w:b/>
                <w:sz w:val="52"/>
              </w:rPr>
              <w:t>Remédiations</w:t>
            </w:r>
            <w:r>
              <w:rPr>
                <w:rFonts w:ascii="French Script MT" w:hAnsi="French Script MT"/>
                <w:b/>
                <w:sz w:val="52"/>
              </w:rPr>
              <w:t xml:space="preserve"> possible</w:t>
            </w:r>
          </w:p>
        </w:tc>
      </w:tr>
      <w:tr w:rsidR="00C83F81" w:rsidTr="00C83F81">
        <w:tc>
          <w:tcPr>
            <w:tcW w:w="3539" w:type="dxa"/>
          </w:tcPr>
          <w:p w:rsidR="00C83F81" w:rsidRPr="00C83F81" w:rsidRDefault="00B61D79" w:rsidP="00C83F81">
            <w:pPr>
              <w:jc w:val="both"/>
              <w:rPr>
                <w:rFonts w:ascii="Times New Roman" w:hAnsi="Times New Roman" w:cs="Times New Roman"/>
              </w:rPr>
            </w:pPr>
            <w:r w:rsidRPr="00B61D79">
              <w:rPr>
                <w:rFonts w:ascii="Times New Roman" w:hAnsi="Times New Roman" w:cs="Times New Roman"/>
              </w:rPr>
              <w:t>Evaluer les connaissances des élèves sur la formation d’une ombre portée.</w:t>
            </w:r>
          </w:p>
        </w:tc>
        <w:tc>
          <w:tcPr>
            <w:tcW w:w="3827" w:type="dxa"/>
          </w:tcPr>
          <w:p w:rsidR="00C83F81" w:rsidRPr="00C83F81" w:rsidRDefault="00B61D79" w:rsidP="00C83F81">
            <w:pPr>
              <w:jc w:val="both"/>
              <w:rPr>
                <w:rFonts w:ascii="Times New Roman" w:hAnsi="Times New Roman" w:cs="Times New Roman"/>
              </w:rPr>
            </w:pPr>
            <w:r w:rsidRPr="00B61D79">
              <w:rPr>
                <w:rFonts w:ascii="Times New Roman" w:hAnsi="Times New Roman" w:cs="Times New Roman"/>
              </w:rPr>
              <w:t>Etre capable de remobiliser ses connaissances pour choisir la bonne source lumineuse selon le placement de l’ombre et de l’objet, et pour faire correspondre un objet à sa bonne ombre portée.</w:t>
            </w:r>
          </w:p>
        </w:tc>
        <w:tc>
          <w:tcPr>
            <w:tcW w:w="3686" w:type="dxa"/>
          </w:tcPr>
          <w:p w:rsidR="00C83F81" w:rsidRPr="00B61D79" w:rsidRDefault="00B61D79" w:rsidP="00C83F81">
            <w:pPr>
              <w:jc w:val="both"/>
              <w:rPr>
                <w:rFonts w:ascii="Times New Roman" w:hAnsi="Times New Roman" w:cs="Times New Roman"/>
              </w:rPr>
            </w:pPr>
            <w:r w:rsidRPr="00B61D79">
              <w:rPr>
                <w:rFonts w:ascii="Times New Roman" w:hAnsi="Times New Roman" w:cs="Times New Roman"/>
              </w:rPr>
              <w:t>Garder à proximité des lampes de poche, des figurines, des écrans blancs pour faire manipuler les élèves qui auraient du mal à réinvestir leurs connaissances à l’écrit.</w:t>
            </w:r>
          </w:p>
        </w:tc>
      </w:tr>
    </w:tbl>
    <w:p w:rsidR="00C83F81" w:rsidRDefault="00C83F8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5"/>
        <w:gridCol w:w="969"/>
        <w:gridCol w:w="1906"/>
        <w:gridCol w:w="4996"/>
        <w:gridCol w:w="2062"/>
      </w:tblGrid>
      <w:tr w:rsidR="00D56F86" w:rsidTr="008278E5">
        <w:tc>
          <w:tcPr>
            <w:tcW w:w="1055" w:type="dxa"/>
            <w:shd w:val="clear" w:color="auto" w:fill="E7E6E6" w:themeFill="background2"/>
          </w:tcPr>
          <w:p w:rsidR="008278E5" w:rsidRPr="008278E5" w:rsidRDefault="008278E5" w:rsidP="008278E5">
            <w:pPr>
              <w:jc w:val="center"/>
              <w:rPr>
                <w:b/>
              </w:rPr>
            </w:pPr>
            <w:r w:rsidRPr="008278E5">
              <w:rPr>
                <w:b/>
              </w:rPr>
              <w:t>Etapes</w:t>
            </w:r>
          </w:p>
        </w:tc>
        <w:tc>
          <w:tcPr>
            <w:tcW w:w="969" w:type="dxa"/>
            <w:shd w:val="clear" w:color="auto" w:fill="E7E6E6" w:themeFill="background2"/>
          </w:tcPr>
          <w:p w:rsidR="008278E5" w:rsidRPr="008278E5" w:rsidRDefault="008278E5" w:rsidP="008278E5">
            <w:pPr>
              <w:jc w:val="center"/>
              <w:rPr>
                <w:b/>
              </w:rPr>
            </w:pPr>
            <w:r w:rsidRPr="008278E5">
              <w:rPr>
                <w:b/>
              </w:rPr>
              <w:t>Durée</w:t>
            </w:r>
          </w:p>
        </w:tc>
        <w:tc>
          <w:tcPr>
            <w:tcW w:w="1906" w:type="dxa"/>
            <w:shd w:val="clear" w:color="auto" w:fill="E7E6E6" w:themeFill="background2"/>
          </w:tcPr>
          <w:p w:rsidR="008278E5" w:rsidRPr="008278E5" w:rsidRDefault="008278E5" w:rsidP="008278E5">
            <w:pPr>
              <w:jc w:val="center"/>
              <w:rPr>
                <w:b/>
              </w:rPr>
            </w:pPr>
            <w:r>
              <w:rPr>
                <w:b/>
              </w:rPr>
              <w:t>Organisation</w:t>
            </w:r>
          </w:p>
        </w:tc>
        <w:tc>
          <w:tcPr>
            <w:tcW w:w="4996" w:type="dxa"/>
            <w:shd w:val="clear" w:color="auto" w:fill="E7E6E6" w:themeFill="background2"/>
          </w:tcPr>
          <w:p w:rsidR="008278E5" w:rsidRPr="008278E5" w:rsidRDefault="008278E5" w:rsidP="008278E5">
            <w:pPr>
              <w:jc w:val="center"/>
              <w:rPr>
                <w:b/>
              </w:rPr>
            </w:pPr>
            <w:r w:rsidRPr="008278E5">
              <w:rPr>
                <w:b/>
              </w:rPr>
              <w:t>Déroulement</w:t>
            </w:r>
          </w:p>
        </w:tc>
        <w:tc>
          <w:tcPr>
            <w:tcW w:w="2062" w:type="dxa"/>
            <w:shd w:val="clear" w:color="auto" w:fill="E7E6E6" w:themeFill="background2"/>
          </w:tcPr>
          <w:p w:rsidR="008278E5" w:rsidRPr="008278E5" w:rsidRDefault="008278E5" w:rsidP="008278E5">
            <w:pPr>
              <w:jc w:val="center"/>
              <w:rPr>
                <w:b/>
              </w:rPr>
            </w:pPr>
            <w:r>
              <w:rPr>
                <w:b/>
              </w:rPr>
              <w:t xml:space="preserve">Matériel </w:t>
            </w:r>
          </w:p>
        </w:tc>
      </w:tr>
      <w:tr w:rsidR="00D56F86" w:rsidTr="008278E5">
        <w:tc>
          <w:tcPr>
            <w:tcW w:w="1055" w:type="dxa"/>
          </w:tcPr>
          <w:p w:rsidR="008278E5" w:rsidRDefault="008278E5">
            <w:r>
              <w:t xml:space="preserve">Etape 1 : </w:t>
            </w:r>
          </w:p>
        </w:tc>
        <w:tc>
          <w:tcPr>
            <w:tcW w:w="969" w:type="dxa"/>
          </w:tcPr>
          <w:p w:rsidR="008278E5" w:rsidRDefault="00B61D79">
            <w:r>
              <w:t xml:space="preserve">10 </w:t>
            </w:r>
            <w:r w:rsidR="008278E5">
              <w:t xml:space="preserve">min </w:t>
            </w:r>
          </w:p>
        </w:tc>
        <w:tc>
          <w:tcPr>
            <w:tcW w:w="1906" w:type="dxa"/>
          </w:tcPr>
          <w:p w:rsidR="008278E5" w:rsidRDefault="00B61D79" w:rsidP="008278E5">
            <w:pPr>
              <w:jc w:val="both"/>
            </w:pPr>
            <w:r>
              <w:t>Groupe classe entier au coin regroupement</w:t>
            </w:r>
          </w:p>
        </w:tc>
        <w:tc>
          <w:tcPr>
            <w:tcW w:w="4996" w:type="dxa"/>
          </w:tcPr>
          <w:p w:rsidR="008278E5" w:rsidRDefault="00B61D79" w:rsidP="008278E5">
            <w:pPr>
              <w:jc w:val="both"/>
            </w:pPr>
            <w:r w:rsidRPr="00B61D79">
              <w:t>Passation des consignes en classe entière au coin regroupement. Un élève reformule les consignes.</w:t>
            </w:r>
          </w:p>
          <w:p w:rsidR="00B61D79" w:rsidRDefault="00B61D79" w:rsidP="00B61D79">
            <w:pPr>
              <w:jc w:val="both"/>
            </w:pPr>
            <w:r w:rsidRPr="00D56F86">
              <w:rPr>
                <w:b/>
              </w:rPr>
              <w:t>Le matériel est projeté au TNI</w:t>
            </w:r>
            <w:r>
              <w:t xml:space="preserve"> et un élève passe au tableau afin de manipuler le paperboard ce qui permet de vérifier également la compréhension de la consigne.</w:t>
            </w:r>
          </w:p>
        </w:tc>
        <w:tc>
          <w:tcPr>
            <w:tcW w:w="2062" w:type="dxa"/>
          </w:tcPr>
          <w:p w:rsidR="008278E5" w:rsidRDefault="00D56F86">
            <w:r>
              <w:t>TNI</w:t>
            </w:r>
          </w:p>
        </w:tc>
      </w:tr>
      <w:tr w:rsidR="00D56F86" w:rsidTr="008F001E">
        <w:trPr>
          <w:trHeight w:val="3220"/>
        </w:trPr>
        <w:tc>
          <w:tcPr>
            <w:tcW w:w="1055" w:type="dxa"/>
          </w:tcPr>
          <w:p w:rsidR="008278E5" w:rsidRDefault="008278E5">
            <w:r>
              <w:t xml:space="preserve">Etape 2 : </w:t>
            </w:r>
          </w:p>
        </w:tc>
        <w:tc>
          <w:tcPr>
            <w:tcW w:w="969" w:type="dxa"/>
          </w:tcPr>
          <w:p w:rsidR="008278E5" w:rsidRDefault="00B61D79">
            <w:r>
              <w:t>40</w:t>
            </w:r>
            <w:r w:rsidR="008278E5">
              <w:t xml:space="preserve"> min </w:t>
            </w:r>
          </w:p>
        </w:tc>
        <w:tc>
          <w:tcPr>
            <w:tcW w:w="1906" w:type="dxa"/>
          </w:tcPr>
          <w:p w:rsidR="008278E5" w:rsidRDefault="00B61D79">
            <w:r>
              <w:t>Chaque enfant travaille individuellement</w:t>
            </w:r>
          </w:p>
        </w:tc>
        <w:tc>
          <w:tcPr>
            <w:tcW w:w="4996" w:type="dxa"/>
          </w:tcPr>
          <w:p w:rsidR="00D56F86" w:rsidRDefault="00D56F86" w:rsidP="00A726E2">
            <w:pPr>
              <w:jc w:val="both"/>
            </w:pPr>
            <w:r w:rsidRPr="00D56F86">
              <w:t xml:space="preserve">Les élèves travaillent individuellement. </w:t>
            </w:r>
          </w:p>
          <w:p w:rsidR="00D56F86" w:rsidRDefault="00D56F86" w:rsidP="00A726E2">
            <w:pPr>
              <w:jc w:val="both"/>
              <w:rPr>
                <w:b/>
                <w:u w:val="single"/>
              </w:rPr>
            </w:pPr>
            <w:r w:rsidRPr="00D56F86">
              <w:rPr>
                <w:b/>
                <w:u w:val="single"/>
              </w:rPr>
              <w:t>1ere évaluation :</w:t>
            </w:r>
          </w:p>
          <w:p w:rsidR="00D56F86" w:rsidRDefault="00D56F86" w:rsidP="00A726E2">
            <w:pPr>
              <w:jc w:val="both"/>
            </w:pPr>
            <w:r>
              <w:t>C</w:t>
            </w:r>
            <w:r w:rsidRPr="00D56F86">
              <w:t xml:space="preserve">olorier « le bon soleil » selon la situation (dessins d’objets avec leurs ombres portées, colorier le bon soleil qui permet de faire apparaître l’ombre). </w:t>
            </w:r>
          </w:p>
          <w:p w:rsidR="00D56F86" w:rsidRDefault="00D56F86" w:rsidP="00A726E2">
            <w:pPr>
              <w:jc w:val="both"/>
            </w:pPr>
            <w:r w:rsidRPr="00D56F86">
              <w:rPr>
                <w:b/>
                <w:u w:val="single"/>
              </w:rPr>
              <w:t>2ème évaluation</w:t>
            </w:r>
            <w:r w:rsidRPr="00D56F86">
              <w:t xml:space="preserve"> : </w:t>
            </w:r>
          </w:p>
          <w:p w:rsidR="008278E5" w:rsidRDefault="00D56F86" w:rsidP="00D56F86">
            <w:pPr>
              <w:jc w:val="both"/>
            </w:pPr>
            <w:r>
              <w:t>S</w:t>
            </w:r>
            <w:r w:rsidRPr="00D56F86">
              <w:t>ur un polycopié où se trouvent des dessins de légumes</w:t>
            </w:r>
            <w:r>
              <w:t xml:space="preserve"> ou d’animaux</w:t>
            </w:r>
            <w:r w:rsidRPr="00D56F86">
              <w:t xml:space="preserve">, </w:t>
            </w:r>
            <w:r w:rsidR="008F001E">
              <w:t xml:space="preserve">l’élève doit placer </w:t>
            </w:r>
            <w:r w:rsidRPr="00D56F86">
              <w:t xml:space="preserve"> </w:t>
            </w:r>
            <w:r w:rsidR="008F001E">
              <w:t xml:space="preserve">la bonne ombre </w:t>
            </w:r>
            <w:r w:rsidRPr="00D56F86">
              <w:t xml:space="preserve"> </w:t>
            </w:r>
            <w:r w:rsidR="008F001E">
              <w:t>près de l’objet correspondant</w:t>
            </w:r>
            <w:r w:rsidRPr="00D56F86">
              <w:t xml:space="preserve"> (les images d’ombres sont dans une barquette que chaque enfant a à sa table).</w:t>
            </w:r>
          </w:p>
          <w:p w:rsidR="00D56F86" w:rsidRDefault="00D56F86" w:rsidP="00D56F86">
            <w:pPr>
              <w:jc w:val="both"/>
            </w:pPr>
          </w:p>
        </w:tc>
        <w:tc>
          <w:tcPr>
            <w:tcW w:w="2062" w:type="dxa"/>
          </w:tcPr>
          <w:p w:rsidR="00D56F86" w:rsidRDefault="00D56F86">
            <w:r>
              <w:t>P</w:t>
            </w:r>
            <w:r w:rsidRPr="00D56F86">
              <w:t xml:space="preserve">olycopiés d’évaluation </w:t>
            </w:r>
          </w:p>
          <w:p w:rsidR="00D56F86" w:rsidRDefault="00D56F86">
            <w:r>
              <w:t>F</w:t>
            </w:r>
            <w:r w:rsidRPr="00D56F86">
              <w:t>eutres jaunes</w:t>
            </w:r>
          </w:p>
          <w:p w:rsidR="00D56F86" w:rsidRDefault="00D56F86">
            <w:r>
              <w:t>C</w:t>
            </w:r>
            <w:r w:rsidRPr="00D56F86">
              <w:t>olle</w:t>
            </w:r>
            <w:r>
              <w:t>s</w:t>
            </w:r>
          </w:p>
          <w:p w:rsidR="00D56F86" w:rsidRDefault="008F001E" w:rsidP="008F001E">
            <w:r>
              <w:t>Différents images avec les ombres correspondantes.</w:t>
            </w:r>
          </w:p>
        </w:tc>
      </w:tr>
      <w:tr w:rsidR="008F001E" w:rsidTr="00BF4A5F">
        <w:trPr>
          <w:trHeight w:val="2936"/>
        </w:trPr>
        <w:tc>
          <w:tcPr>
            <w:tcW w:w="10988" w:type="dxa"/>
            <w:gridSpan w:val="5"/>
          </w:tcPr>
          <w:p w:rsidR="008F001E" w:rsidRPr="008F001E" w:rsidRDefault="008F001E">
            <w:pPr>
              <w:rPr>
                <w:b/>
                <w:u w:val="single"/>
              </w:rPr>
            </w:pPr>
            <w:r w:rsidRPr="008F001E">
              <w:rPr>
                <w:b/>
                <w:u w:val="single"/>
              </w:rPr>
              <w:t>Documents pour l’évaluation :</w:t>
            </w:r>
          </w:p>
          <w:p w:rsidR="008F001E" w:rsidRDefault="008F001E" w:rsidP="008F001E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340A1D0">
                  <wp:extent cx="5353050" cy="1499870"/>
                  <wp:effectExtent l="0" t="0" r="0" b="508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0" cy="1499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001E" w:rsidRDefault="008F001E"/>
          <w:p w:rsidR="008F001E" w:rsidRDefault="008F001E"/>
          <w:p w:rsidR="008F001E" w:rsidRDefault="008F001E">
            <w:r>
              <w:rPr>
                <w:noProof/>
                <w:lang w:eastAsia="fr-FR"/>
              </w:rPr>
              <w:drawing>
                <wp:inline distT="0" distB="0" distL="0" distR="0">
                  <wp:extent cx="2628900" cy="180975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jeu d'ombres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1809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1905000" cy="177165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jeu ombres.jpg"/>
                          <pic:cNvPicPr/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728" b="16315"/>
                          <a:stretch/>
                        </pic:blipFill>
                        <pic:spPr bwMode="auto">
                          <a:xfrm>
                            <a:off x="0" y="0"/>
                            <a:ext cx="1931905" cy="17966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noProof/>
                <w:lang w:eastAsia="fr-FR"/>
              </w:rPr>
              <w:drawing>
                <wp:inline distT="0" distB="0" distL="0" distR="0">
                  <wp:extent cx="2105025" cy="1771650"/>
                  <wp:effectExtent l="0" t="0" r="952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jeu sur les ombre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17716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8F001E" w:rsidRDefault="008F001E"/>
        </w:tc>
      </w:tr>
    </w:tbl>
    <w:p w:rsidR="00C83F81" w:rsidRDefault="00C83F81"/>
    <w:sectPr w:rsidR="00C83F81" w:rsidSect="00C83F81">
      <w:pgSz w:w="11906" w:h="16838"/>
      <w:pgMar w:top="454" w:right="454" w:bottom="51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81"/>
    <w:rsid w:val="003B752D"/>
    <w:rsid w:val="008278E5"/>
    <w:rsid w:val="008F001E"/>
    <w:rsid w:val="00A726E2"/>
    <w:rsid w:val="00A967F0"/>
    <w:rsid w:val="00B61D79"/>
    <w:rsid w:val="00C83F81"/>
    <w:rsid w:val="00D5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892A5-26DB-4B1E-856E-3ABFBC64E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83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Guihaire Amandine</dc:creator>
  <cp:keywords/>
  <dc:description/>
  <cp:lastModifiedBy>Benchikh Amel</cp:lastModifiedBy>
  <cp:revision>2</cp:revision>
  <dcterms:created xsi:type="dcterms:W3CDTF">2017-04-28T12:30:00Z</dcterms:created>
  <dcterms:modified xsi:type="dcterms:W3CDTF">2017-04-28T12:30:00Z</dcterms:modified>
</cp:coreProperties>
</file>