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3D8" w:rsidRPr="00686036" w:rsidRDefault="00686036" w:rsidP="00686036">
      <w:pPr>
        <w:jc w:val="center"/>
        <w:rPr>
          <w:sz w:val="20"/>
          <w:szCs w:val="20"/>
        </w:rPr>
      </w:pPr>
      <w:r w:rsidRPr="00686036">
        <w:rPr>
          <w:sz w:val="20"/>
          <w:szCs w:val="20"/>
        </w:rPr>
        <w:t>Analyse d’une séquence filmique, entre image et histoire</w:t>
      </w:r>
    </w:p>
    <w:p w:rsidR="00686036" w:rsidRPr="00686036" w:rsidRDefault="00686036" w:rsidP="00686036">
      <w:pPr>
        <w:jc w:val="center"/>
        <w:rPr>
          <w:b/>
          <w:sz w:val="24"/>
          <w:szCs w:val="24"/>
        </w:rPr>
      </w:pPr>
      <w:r w:rsidRPr="00686036">
        <w:rPr>
          <w:b/>
          <w:i/>
          <w:sz w:val="24"/>
          <w:szCs w:val="24"/>
        </w:rPr>
        <w:t>Un long dimanche de fiançailles</w:t>
      </w:r>
      <w:r w:rsidRPr="00686036">
        <w:rPr>
          <w:b/>
          <w:sz w:val="24"/>
          <w:szCs w:val="24"/>
        </w:rPr>
        <w:t xml:space="preserve"> de Jean-Pierre Jeunet (2003)</w:t>
      </w:r>
    </w:p>
    <w:p w:rsidR="00686036" w:rsidRPr="00686036" w:rsidRDefault="00686036" w:rsidP="00686036">
      <w:pPr>
        <w:jc w:val="both"/>
        <w:rPr>
          <w:sz w:val="24"/>
          <w:szCs w:val="24"/>
        </w:rPr>
      </w:pPr>
    </w:p>
    <w:p w:rsidR="00686036" w:rsidRPr="00686036" w:rsidRDefault="00686036" w:rsidP="00686036">
      <w:pPr>
        <w:jc w:val="both"/>
        <w:rPr>
          <w:sz w:val="20"/>
          <w:szCs w:val="20"/>
        </w:rPr>
      </w:pPr>
      <w:r w:rsidRPr="00686036">
        <w:rPr>
          <w:b/>
          <w:sz w:val="20"/>
          <w:szCs w:val="20"/>
        </w:rPr>
        <w:t>Objectif</w:t>
      </w:r>
      <w:r w:rsidRPr="00686036">
        <w:rPr>
          <w:sz w:val="20"/>
          <w:szCs w:val="20"/>
        </w:rPr>
        <w:t> : à partir de la scène d’introduction du film de J.-P. Jeunet, il s’agit de repérer les difficultés de la vie quotidienne dans les tranchées, pendant la Première guerre mondiale (ici, pendant l’année 17, sur le front de la Somme).</w:t>
      </w:r>
    </w:p>
    <w:p w:rsidR="00686036" w:rsidRPr="00686036" w:rsidRDefault="00686036" w:rsidP="00686036">
      <w:pPr>
        <w:jc w:val="both"/>
        <w:rPr>
          <w:sz w:val="20"/>
          <w:szCs w:val="20"/>
        </w:rPr>
      </w:pPr>
      <w:r w:rsidRPr="00686036">
        <w:rPr>
          <w:i/>
          <w:sz w:val="20"/>
          <w:szCs w:val="20"/>
        </w:rPr>
        <w:t>Un long dimanche de fiançailles</w:t>
      </w:r>
      <w:r w:rsidRPr="00686036">
        <w:rPr>
          <w:sz w:val="20"/>
          <w:szCs w:val="20"/>
        </w:rPr>
        <w:t xml:space="preserve"> est un long-métrage mis en scène par Jean-Pierre Jeunet, réalisé en 2003 et sorti en salle le 27 octobre 2004. Le scénario est écrit par Guillaume </w:t>
      </w:r>
      <w:proofErr w:type="spellStart"/>
      <w:r w:rsidRPr="00686036">
        <w:rPr>
          <w:sz w:val="20"/>
          <w:szCs w:val="20"/>
        </w:rPr>
        <w:t>Laurant</w:t>
      </w:r>
      <w:proofErr w:type="spellEnd"/>
      <w:r w:rsidRPr="00686036">
        <w:rPr>
          <w:sz w:val="20"/>
          <w:szCs w:val="20"/>
        </w:rPr>
        <w:t xml:space="preserve"> et Jean-Pierre Jeunet à partir du roman du même nom de Sébastien </w:t>
      </w:r>
      <w:proofErr w:type="spellStart"/>
      <w:r w:rsidRPr="00686036">
        <w:rPr>
          <w:sz w:val="20"/>
          <w:szCs w:val="20"/>
        </w:rPr>
        <w:t>Japrisot</w:t>
      </w:r>
      <w:proofErr w:type="spellEnd"/>
      <w:r w:rsidRPr="00686036">
        <w:rPr>
          <w:sz w:val="20"/>
          <w:szCs w:val="20"/>
        </w:rPr>
        <w:t>.</w:t>
      </w:r>
    </w:p>
    <w:p w:rsidR="00686036" w:rsidRDefault="00686036" w:rsidP="00686036">
      <w:pPr>
        <w:spacing w:after="0"/>
        <w:jc w:val="both"/>
        <w:rPr>
          <w:sz w:val="20"/>
          <w:szCs w:val="20"/>
        </w:rPr>
      </w:pPr>
      <w:r w:rsidRPr="00686036">
        <w:rPr>
          <w:b/>
          <w:sz w:val="20"/>
          <w:szCs w:val="20"/>
        </w:rPr>
        <w:t>Synopsis</w:t>
      </w:r>
      <w:r w:rsidRPr="00686036">
        <w:rPr>
          <w:sz w:val="20"/>
          <w:szCs w:val="20"/>
        </w:rPr>
        <w:t> : e</w:t>
      </w:r>
      <w:r w:rsidRPr="00686036">
        <w:rPr>
          <w:sz w:val="20"/>
          <w:szCs w:val="20"/>
        </w:rPr>
        <w:t xml:space="preserve">n 1919, Mathilde a 19 ans. Deux ans plus tôt, son fiancé </w:t>
      </w:r>
      <w:proofErr w:type="spellStart"/>
      <w:r w:rsidRPr="00686036">
        <w:rPr>
          <w:sz w:val="20"/>
          <w:szCs w:val="20"/>
        </w:rPr>
        <w:t>Manech</w:t>
      </w:r>
      <w:proofErr w:type="spellEnd"/>
      <w:r w:rsidRPr="00686036">
        <w:rPr>
          <w:sz w:val="20"/>
          <w:szCs w:val="20"/>
        </w:rPr>
        <w:t xml:space="preserve"> est parti sur le front de la Somme. Comme des millions d'autres, il est "mort au champ d'honneur". C'est écrit noir sur blanc sur l'avis officiel. Pourtant, Mathilde refuse d'admettre cette évidence. Si </w:t>
      </w:r>
      <w:proofErr w:type="spellStart"/>
      <w:r w:rsidRPr="00686036">
        <w:rPr>
          <w:sz w:val="20"/>
          <w:szCs w:val="20"/>
        </w:rPr>
        <w:t>Manech</w:t>
      </w:r>
      <w:proofErr w:type="spellEnd"/>
      <w:r w:rsidRPr="00686036">
        <w:rPr>
          <w:sz w:val="20"/>
          <w:szCs w:val="20"/>
        </w:rPr>
        <w:t xml:space="preserve"> était mort, elle le saurait !</w:t>
      </w:r>
    </w:p>
    <w:p w:rsidR="00686036" w:rsidRDefault="00686036" w:rsidP="00686036">
      <w:pPr>
        <w:spacing w:after="0"/>
        <w:jc w:val="both"/>
        <w:rPr>
          <w:sz w:val="20"/>
          <w:szCs w:val="20"/>
        </w:rPr>
      </w:pPr>
      <w:r w:rsidRPr="00686036">
        <w:rPr>
          <w:sz w:val="20"/>
          <w:szCs w:val="20"/>
        </w:rPr>
        <w:t xml:space="preserve">Elle se raccroche à son intuition comme au dernier fil ténu qui la relierait encore à son amant. Un ancien sergent a beau lui raconter que </w:t>
      </w:r>
      <w:proofErr w:type="spellStart"/>
      <w:r w:rsidRPr="00686036">
        <w:rPr>
          <w:sz w:val="20"/>
          <w:szCs w:val="20"/>
        </w:rPr>
        <w:t>Manech</w:t>
      </w:r>
      <w:proofErr w:type="spellEnd"/>
      <w:r w:rsidRPr="00686036">
        <w:rPr>
          <w:sz w:val="20"/>
          <w:szCs w:val="20"/>
        </w:rPr>
        <w:t xml:space="preserve"> est mort sur le </w:t>
      </w:r>
      <w:r w:rsidRPr="00686036">
        <w:rPr>
          <w:i/>
          <w:iCs/>
          <w:sz w:val="20"/>
          <w:szCs w:val="20"/>
        </w:rPr>
        <w:t>no man's land</w:t>
      </w:r>
      <w:r w:rsidRPr="00686036">
        <w:rPr>
          <w:sz w:val="20"/>
          <w:szCs w:val="20"/>
        </w:rPr>
        <w:t xml:space="preserve"> d'une tranchée nommée Bingo Crépuscule, en compagnie de quatre autres condamnés à mort pour mutilation volontaire ; rien n'y fait. Mathilde refuse de lâcher le fil. Elle s'y cramponne avec la foi du charbonnier et se lance dans une véritable contre-enquête.</w:t>
      </w:r>
    </w:p>
    <w:p w:rsidR="00686036" w:rsidRPr="00686036" w:rsidRDefault="00686036" w:rsidP="00686036">
      <w:pPr>
        <w:spacing w:after="0"/>
        <w:jc w:val="both"/>
        <w:rPr>
          <w:sz w:val="20"/>
          <w:szCs w:val="20"/>
        </w:rPr>
      </w:pPr>
      <w:r w:rsidRPr="00686036">
        <w:rPr>
          <w:sz w:val="20"/>
          <w:szCs w:val="20"/>
        </w:rPr>
        <w:t xml:space="preserve">De faux espoirs en incertitudes, elle va démêler peu à peu la vérité sur le sort de </w:t>
      </w:r>
      <w:proofErr w:type="spellStart"/>
      <w:r w:rsidRPr="00686036">
        <w:rPr>
          <w:sz w:val="20"/>
          <w:szCs w:val="20"/>
        </w:rPr>
        <w:t>Manech</w:t>
      </w:r>
      <w:proofErr w:type="spellEnd"/>
      <w:r w:rsidRPr="00686036">
        <w:rPr>
          <w:sz w:val="20"/>
          <w:szCs w:val="20"/>
        </w:rPr>
        <w:t xml:space="preserve"> et de ses quatre camarades.</w:t>
      </w:r>
      <w:r w:rsidRPr="00686036">
        <w:rPr>
          <w:sz w:val="20"/>
          <w:szCs w:val="20"/>
        </w:rPr>
        <w:t xml:space="preserve"> (</w:t>
      </w:r>
      <w:proofErr w:type="gramStart"/>
      <w:r w:rsidRPr="00686036">
        <w:rPr>
          <w:sz w:val="20"/>
          <w:szCs w:val="20"/>
        </w:rPr>
        <w:t>allo</w:t>
      </w:r>
      <w:proofErr w:type="gramEnd"/>
      <w:r w:rsidRPr="00686036">
        <w:rPr>
          <w:sz w:val="20"/>
          <w:szCs w:val="20"/>
        </w:rPr>
        <w:t xml:space="preserve"> ciné)</w:t>
      </w:r>
    </w:p>
    <w:p w:rsidR="00686036" w:rsidRDefault="00686036" w:rsidP="00686036">
      <w:pPr>
        <w:jc w:val="both"/>
        <w:rPr>
          <w:sz w:val="24"/>
          <w:szCs w:val="24"/>
        </w:rPr>
      </w:pPr>
    </w:p>
    <w:tbl>
      <w:tblPr>
        <w:tblStyle w:val="Grilledutableau"/>
        <w:tblW w:w="0" w:type="auto"/>
        <w:tblLook w:val="04A0" w:firstRow="1" w:lastRow="0" w:firstColumn="1" w:lastColumn="0" w:noHBand="0" w:noVBand="1"/>
      </w:tblPr>
      <w:tblGrid>
        <w:gridCol w:w="1172"/>
        <w:gridCol w:w="1343"/>
        <w:gridCol w:w="4025"/>
        <w:gridCol w:w="4448"/>
      </w:tblGrid>
      <w:tr w:rsidR="00686036" w:rsidRPr="00B32A13" w:rsidTr="00B32A13">
        <w:tc>
          <w:tcPr>
            <w:tcW w:w="2515" w:type="dxa"/>
            <w:gridSpan w:val="2"/>
          </w:tcPr>
          <w:p w:rsidR="00686036" w:rsidRPr="00B32A13" w:rsidRDefault="00B32A13" w:rsidP="00686036">
            <w:pPr>
              <w:jc w:val="both"/>
              <w:rPr>
                <w:sz w:val="20"/>
                <w:szCs w:val="20"/>
              </w:rPr>
            </w:pPr>
            <w:r w:rsidRPr="00B32A13">
              <w:rPr>
                <w:sz w:val="20"/>
                <w:szCs w:val="20"/>
              </w:rPr>
              <w:t>Thèmes</w:t>
            </w:r>
          </w:p>
        </w:tc>
        <w:tc>
          <w:tcPr>
            <w:tcW w:w="4025" w:type="dxa"/>
          </w:tcPr>
          <w:p w:rsidR="00686036" w:rsidRPr="00B32A13" w:rsidRDefault="00B32A13" w:rsidP="00686036">
            <w:pPr>
              <w:jc w:val="both"/>
              <w:rPr>
                <w:sz w:val="20"/>
                <w:szCs w:val="20"/>
              </w:rPr>
            </w:pPr>
            <w:r w:rsidRPr="00B32A13">
              <w:rPr>
                <w:sz w:val="20"/>
                <w:szCs w:val="20"/>
              </w:rPr>
              <w:t>Le récit « fiction »</w:t>
            </w:r>
          </w:p>
        </w:tc>
        <w:tc>
          <w:tcPr>
            <w:tcW w:w="4448" w:type="dxa"/>
          </w:tcPr>
          <w:p w:rsidR="00686036" w:rsidRPr="00B32A13" w:rsidRDefault="00B32A13" w:rsidP="00686036">
            <w:pPr>
              <w:jc w:val="both"/>
              <w:rPr>
                <w:sz w:val="20"/>
                <w:szCs w:val="20"/>
              </w:rPr>
            </w:pPr>
            <w:r w:rsidRPr="00B32A13">
              <w:rPr>
                <w:sz w:val="20"/>
                <w:szCs w:val="20"/>
              </w:rPr>
              <w:t>Le contexte historique</w:t>
            </w:r>
          </w:p>
        </w:tc>
      </w:tr>
      <w:tr w:rsidR="00686036" w:rsidRPr="00B32A13" w:rsidTr="00B32A13">
        <w:tc>
          <w:tcPr>
            <w:tcW w:w="1172" w:type="dxa"/>
            <w:vMerge w:val="restart"/>
          </w:tcPr>
          <w:p w:rsidR="00686036" w:rsidRPr="00B32A13" w:rsidRDefault="00B32A13" w:rsidP="00686036">
            <w:pPr>
              <w:jc w:val="both"/>
              <w:rPr>
                <w:sz w:val="20"/>
                <w:szCs w:val="20"/>
              </w:rPr>
            </w:pPr>
            <w:r w:rsidRPr="00B32A13">
              <w:rPr>
                <w:sz w:val="20"/>
                <w:szCs w:val="20"/>
              </w:rPr>
              <w:t>Lieux et acteurs</w:t>
            </w:r>
          </w:p>
        </w:tc>
        <w:tc>
          <w:tcPr>
            <w:tcW w:w="1343" w:type="dxa"/>
          </w:tcPr>
          <w:p w:rsidR="00686036" w:rsidRPr="00B32A13" w:rsidRDefault="00B32A13" w:rsidP="00686036">
            <w:pPr>
              <w:jc w:val="both"/>
              <w:rPr>
                <w:sz w:val="20"/>
                <w:szCs w:val="20"/>
              </w:rPr>
            </w:pPr>
            <w:r w:rsidRPr="00B32A13">
              <w:rPr>
                <w:sz w:val="20"/>
                <w:szCs w:val="20"/>
              </w:rPr>
              <w:t>Tranchées</w:t>
            </w:r>
          </w:p>
        </w:tc>
        <w:tc>
          <w:tcPr>
            <w:tcW w:w="4025" w:type="dxa"/>
          </w:tcPr>
          <w:p w:rsidR="00B32A13" w:rsidRDefault="00E01C8D" w:rsidP="00686036">
            <w:pPr>
              <w:jc w:val="both"/>
              <w:rPr>
                <w:sz w:val="20"/>
                <w:szCs w:val="20"/>
              </w:rPr>
            </w:pPr>
            <w:r>
              <w:rPr>
                <w:sz w:val="20"/>
                <w:szCs w:val="20"/>
              </w:rPr>
              <w:t>Paysage désolé, apocalyptique : croix délabrée = protection divine sans espoir</w:t>
            </w:r>
          </w:p>
          <w:p w:rsidR="00E01C8D" w:rsidRDefault="00E01C8D" w:rsidP="00686036">
            <w:pPr>
              <w:jc w:val="both"/>
              <w:rPr>
                <w:sz w:val="20"/>
                <w:szCs w:val="20"/>
              </w:rPr>
            </w:pPr>
            <w:r>
              <w:rPr>
                <w:sz w:val="20"/>
                <w:szCs w:val="20"/>
              </w:rPr>
              <w:t>Tranchées = ruisseaux car pluies continuelles donc difficultés de déplacement, exposition au froid, à la boue, aux rats…</w:t>
            </w:r>
          </w:p>
          <w:p w:rsidR="00E01C8D" w:rsidRPr="00B32A13" w:rsidRDefault="00E01C8D" w:rsidP="00686036">
            <w:pPr>
              <w:jc w:val="both"/>
              <w:rPr>
                <w:sz w:val="20"/>
                <w:szCs w:val="20"/>
              </w:rPr>
            </w:pPr>
            <w:r>
              <w:rPr>
                <w:sz w:val="20"/>
                <w:szCs w:val="20"/>
              </w:rPr>
              <w:t>Nature pas épargnée : cadavre de cheval</w:t>
            </w:r>
            <w:r w:rsidR="00B46084">
              <w:rPr>
                <w:sz w:val="20"/>
                <w:szCs w:val="20"/>
              </w:rPr>
              <w:t>, corps mutilés</w:t>
            </w:r>
          </w:p>
        </w:tc>
        <w:tc>
          <w:tcPr>
            <w:tcW w:w="4448" w:type="dxa"/>
          </w:tcPr>
          <w:p w:rsidR="00686036" w:rsidRDefault="004675DB" w:rsidP="00686036">
            <w:pPr>
              <w:jc w:val="both"/>
              <w:rPr>
                <w:sz w:val="20"/>
                <w:szCs w:val="20"/>
              </w:rPr>
            </w:pPr>
            <w:r>
              <w:rPr>
                <w:sz w:val="20"/>
                <w:szCs w:val="20"/>
              </w:rPr>
              <w:t xml:space="preserve">Année 1917 : </w:t>
            </w:r>
            <w:r w:rsidR="00784FFC">
              <w:rPr>
                <w:sz w:val="20"/>
                <w:szCs w:val="20"/>
              </w:rPr>
              <w:t>3</w:t>
            </w:r>
            <w:r w:rsidR="00784FFC" w:rsidRPr="00784FFC">
              <w:rPr>
                <w:sz w:val="20"/>
                <w:szCs w:val="20"/>
                <w:vertAlign w:val="superscript"/>
              </w:rPr>
              <w:t>e</w:t>
            </w:r>
            <w:r w:rsidR="00784FFC">
              <w:rPr>
                <w:sz w:val="20"/>
                <w:szCs w:val="20"/>
              </w:rPr>
              <w:t xml:space="preserve"> année de guerre, guerre de position dans les tranchées</w:t>
            </w:r>
          </w:p>
          <w:p w:rsidR="00784FFC" w:rsidRDefault="00784FFC" w:rsidP="00686036">
            <w:pPr>
              <w:jc w:val="both"/>
              <w:rPr>
                <w:sz w:val="20"/>
                <w:szCs w:val="20"/>
              </w:rPr>
            </w:pPr>
            <w:r>
              <w:rPr>
                <w:sz w:val="20"/>
                <w:szCs w:val="20"/>
              </w:rPr>
              <w:t>Conditions de vie et d’hygiène déplorables : l’enfer des tranchées</w:t>
            </w:r>
          </w:p>
          <w:p w:rsidR="00784FFC" w:rsidRPr="00B32A13" w:rsidRDefault="00784FFC" w:rsidP="00686036">
            <w:pPr>
              <w:jc w:val="both"/>
              <w:rPr>
                <w:sz w:val="20"/>
                <w:szCs w:val="20"/>
              </w:rPr>
            </w:pPr>
            <w:r>
              <w:rPr>
                <w:sz w:val="20"/>
                <w:szCs w:val="20"/>
              </w:rPr>
              <w:t>Armement : canon, obus, chars, gaz, les nettoyeurs de tranchées</w:t>
            </w:r>
            <w:r w:rsidR="00B46084">
              <w:rPr>
                <w:sz w:val="20"/>
                <w:szCs w:val="20"/>
              </w:rPr>
              <w:t>/ les « gueules cassées »</w:t>
            </w:r>
          </w:p>
        </w:tc>
      </w:tr>
      <w:tr w:rsidR="00B32A13" w:rsidRPr="00B32A13" w:rsidTr="00B32A13">
        <w:tc>
          <w:tcPr>
            <w:tcW w:w="1172" w:type="dxa"/>
            <w:vMerge/>
          </w:tcPr>
          <w:p w:rsidR="00B32A13" w:rsidRPr="00B32A13" w:rsidRDefault="00B32A13" w:rsidP="00686036">
            <w:pPr>
              <w:jc w:val="both"/>
              <w:rPr>
                <w:sz w:val="20"/>
                <w:szCs w:val="20"/>
              </w:rPr>
            </w:pPr>
          </w:p>
        </w:tc>
        <w:tc>
          <w:tcPr>
            <w:tcW w:w="1343" w:type="dxa"/>
          </w:tcPr>
          <w:p w:rsidR="00B32A13" w:rsidRPr="00B32A13" w:rsidRDefault="00B32A13" w:rsidP="00686036">
            <w:pPr>
              <w:jc w:val="both"/>
              <w:rPr>
                <w:sz w:val="20"/>
                <w:szCs w:val="20"/>
              </w:rPr>
            </w:pPr>
            <w:r w:rsidRPr="00B32A13">
              <w:rPr>
                <w:sz w:val="20"/>
                <w:szCs w:val="20"/>
              </w:rPr>
              <w:t>Assaut</w:t>
            </w:r>
          </w:p>
        </w:tc>
        <w:tc>
          <w:tcPr>
            <w:tcW w:w="4025" w:type="dxa"/>
          </w:tcPr>
          <w:p w:rsidR="00B32A13" w:rsidRDefault="004675DB" w:rsidP="00686036">
            <w:pPr>
              <w:jc w:val="both"/>
              <w:rPr>
                <w:sz w:val="20"/>
                <w:szCs w:val="20"/>
              </w:rPr>
            </w:pPr>
            <w:r>
              <w:rPr>
                <w:sz w:val="20"/>
                <w:szCs w:val="20"/>
              </w:rPr>
              <w:t>Sortir de la tranchée sur les tirs ennemis = sacrifice des soldats</w:t>
            </w:r>
          </w:p>
          <w:p w:rsidR="004675DB" w:rsidRPr="00B32A13" w:rsidRDefault="004675DB" w:rsidP="00686036">
            <w:pPr>
              <w:jc w:val="both"/>
              <w:rPr>
                <w:sz w:val="20"/>
                <w:szCs w:val="20"/>
              </w:rPr>
            </w:pPr>
            <w:r>
              <w:rPr>
                <w:sz w:val="20"/>
                <w:szCs w:val="20"/>
              </w:rPr>
              <w:t>Progression difficile : barbelées dans le no man’s land, tirs de chars et d’obus, bombardements constants</w:t>
            </w:r>
          </w:p>
        </w:tc>
        <w:tc>
          <w:tcPr>
            <w:tcW w:w="4448" w:type="dxa"/>
          </w:tcPr>
          <w:p w:rsidR="00784FFC" w:rsidRPr="00B32A13" w:rsidRDefault="00784FFC" w:rsidP="00784FFC">
            <w:pPr>
              <w:jc w:val="both"/>
              <w:rPr>
                <w:sz w:val="20"/>
                <w:szCs w:val="20"/>
              </w:rPr>
            </w:pPr>
            <w:r>
              <w:rPr>
                <w:sz w:val="20"/>
                <w:szCs w:val="20"/>
              </w:rPr>
              <w:t>De janvier 1915 à mars 1918, le front est stable malgré de nombreuses offensives, très meurtrières mais</w:t>
            </w:r>
            <w:r>
              <w:rPr>
                <w:sz w:val="20"/>
                <w:szCs w:val="20"/>
              </w:rPr>
              <w:t xml:space="preserve"> peu efficaces</w:t>
            </w:r>
            <w:r>
              <w:rPr>
                <w:sz w:val="20"/>
                <w:szCs w:val="20"/>
              </w:rPr>
              <w:t>.</w:t>
            </w:r>
          </w:p>
        </w:tc>
      </w:tr>
      <w:tr w:rsidR="00686036" w:rsidRPr="00B32A13" w:rsidTr="00B32A13">
        <w:tc>
          <w:tcPr>
            <w:tcW w:w="1172" w:type="dxa"/>
            <w:vMerge/>
          </w:tcPr>
          <w:p w:rsidR="00686036" w:rsidRPr="00B32A13" w:rsidRDefault="00686036" w:rsidP="00686036">
            <w:pPr>
              <w:jc w:val="both"/>
              <w:rPr>
                <w:sz w:val="20"/>
                <w:szCs w:val="20"/>
              </w:rPr>
            </w:pPr>
          </w:p>
        </w:tc>
        <w:tc>
          <w:tcPr>
            <w:tcW w:w="1343" w:type="dxa"/>
          </w:tcPr>
          <w:p w:rsidR="00686036" w:rsidRPr="00B32A13" w:rsidRDefault="00B32A13" w:rsidP="00686036">
            <w:pPr>
              <w:jc w:val="both"/>
              <w:rPr>
                <w:sz w:val="20"/>
                <w:szCs w:val="20"/>
              </w:rPr>
            </w:pPr>
            <w:r w:rsidRPr="00B32A13">
              <w:rPr>
                <w:sz w:val="20"/>
                <w:szCs w:val="20"/>
              </w:rPr>
              <w:t>Les soldats condamnés</w:t>
            </w:r>
          </w:p>
        </w:tc>
        <w:tc>
          <w:tcPr>
            <w:tcW w:w="4025" w:type="dxa"/>
          </w:tcPr>
          <w:p w:rsidR="00B32A13" w:rsidRDefault="004675DB" w:rsidP="00686036">
            <w:pPr>
              <w:jc w:val="both"/>
              <w:rPr>
                <w:sz w:val="20"/>
                <w:szCs w:val="20"/>
              </w:rPr>
            </w:pPr>
            <w:r>
              <w:rPr>
                <w:sz w:val="20"/>
                <w:szCs w:val="20"/>
              </w:rPr>
              <w:t xml:space="preserve">« matricule 21-24 » : </w:t>
            </w:r>
            <w:proofErr w:type="spellStart"/>
            <w:r>
              <w:rPr>
                <w:sz w:val="20"/>
                <w:szCs w:val="20"/>
              </w:rPr>
              <w:t>Bastoche</w:t>
            </w:r>
            <w:proofErr w:type="spellEnd"/>
            <w:r>
              <w:rPr>
                <w:sz w:val="20"/>
                <w:szCs w:val="20"/>
              </w:rPr>
              <w:t xml:space="preserve">, menuisier à la Bastille (Paris), </w:t>
            </w:r>
            <w:r w:rsidR="00B46084">
              <w:rPr>
                <w:sz w:val="20"/>
                <w:szCs w:val="20"/>
              </w:rPr>
              <w:t xml:space="preserve">amoureux, </w:t>
            </w:r>
            <w:r>
              <w:rPr>
                <w:sz w:val="20"/>
                <w:szCs w:val="20"/>
              </w:rPr>
              <w:t>condamné à tort.</w:t>
            </w:r>
          </w:p>
          <w:p w:rsidR="004675DB" w:rsidRDefault="004675DB" w:rsidP="004675DB">
            <w:pPr>
              <w:jc w:val="both"/>
              <w:rPr>
                <w:sz w:val="20"/>
                <w:szCs w:val="20"/>
              </w:rPr>
            </w:pPr>
            <w:r>
              <w:rPr>
                <w:sz w:val="20"/>
                <w:szCs w:val="20"/>
              </w:rPr>
              <w:t>« matricule 40-77 » : Six-Sous, parisien aussi, soudeur aux chemins de fer de l’État, syndicaliste ou politisé à l’extrême gauche, conscience de classe.</w:t>
            </w:r>
          </w:p>
          <w:p w:rsidR="004675DB" w:rsidRDefault="004675DB" w:rsidP="004675DB">
            <w:pPr>
              <w:jc w:val="both"/>
              <w:rPr>
                <w:sz w:val="20"/>
                <w:szCs w:val="20"/>
              </w:rPr>
            </w:pPr>
            <w:r>
              <w:rPr>
                <w:sz w:val="20"/>
                <w:szCs w:val="20"/>
              </w:rPr>
              <w:t>« matricule 18-18 » : Benoît Notre-Dame, paysan de la Dordogne, grand sens de la justice.</w:t>
            </w:r>
          </w:p>
          <w:p w:rsidR="004675DB" w:rsidRDefault="004675DB" w:rsidP="004675DB">
            <w:pPr>
              <w:jc w:val="both"/>
              <w:rPr>
                <w:sz w:val="20"/>
                <w:szCs w:val="20"/>
              </w:rPr>
            </w:pPr>
            <w:r>
              <w:rPr>
                <w:sz w:val="20"/>
                <w:szCs w:val="20"/>
              </w:rPr>
              <w:t xml:space="preserve">« matricule 73-28 » : Ange </w:t>
            </w:r>
            <w:proofErr w:type="spellStart"/>
            <w:r>
              <w:rPr>
                <w:sz w:val="20"/>
                <w:szCs w:val="20"/>
              </w:rPr>
              <w:t>Bassignano</w:t>
            </w:r>
            <w:proofErr w:type="spellEnd"/>
            <w:r>
              <w:rPr>
                <w:sz w:val="20"/>
                <w:szCs w:val="20"/>
              </w:rPr>
              <w:t>, corse, proxénète.</w:t>
            </w:r>
          </w:p>
          <w:p w:rsidR="004675DB" w:rsidRPr="00B32A13" w:rsidRDefault="004675DB" w:rsidP="004675DB">
            <w:pPr>
              <w:jc w:val="both"/>
              <w:rPr>
                <w:sz w:val="20"/>
                <w:szCs w:val="20"/>
              </w:rPr>
            </w:pPr>
            <w:r>
              <w:rPr>
                <w:sz w:val="20"/>
                <w:szCs w:val="20"/>
              </w:rPr>
              <w:t xml:space="preserve">«le bleuet », surnom de la classe 17 : </w:t>
            </w:r>
            <w:proofErr w:type="spellStart"/>
            <w:r>
              <w:rPr>
                <w:sz w:val="20"/>
                <w:szCs w:val="20"/>
              </w:rPr>
              <w:t>Manech</w:t>
            </w:r>
            <w:proofErr w:type="spellEnd"/>
            <w:r>
              <w:rPr>
                <w:sz w:val="20"/>
                <w:szCs w:val="20"/>
              </w:rPr>
              <w:t>, jeune breton de presque 20 ans, sauveteur en mer</w:t>
            </w:r>
          </w:p>
        </w:tc>
        <w:tc>
          <w:tcPr>
            <w:tcW w:w="4448" w:type="dxa"/>
          </w:tcPr>
          <w:p w:rsidR="00686036" w:rsidRDefault="004675DB" w:rsidP="00686036">
            <w:pPr>
              <w:jc w:val="both"/>
              <w:rPr>
                <w:sz w:val="20"/>
                <w:szCs w:val="20"/>
              </w:rPr>
            </w:pPr>
            <w:r>
              <w:rPr>
                <w:sz w:val="20"/>
                <w:szCs w:val="20"/>
              </w:rPr>
              <w:t>Après les batailles très meurtrières de 1916, Verdun (février à décembre 1916, 300 000 morts), il faut compléter les rangs : les condamnés de droit commun peuvent être envoyés au front au lieu de rester en prison.</w:t>
            </w:r>
          </w:p>
          <w:p w:rsidR="004675DB" w:rsidRDefault="004675DB" w:rsidP="00686036">
            <w:pPr>
              <w:jc w:val="both"/>
              <w:rPr>
                <w:sz w:val="20"/>
                <w:szCs w:val="20"/>
              </w:rPr>
            </w:pPr>
          </w:p>
          <w:p w:rsidR="004675DB" w:rsidRDefault="004675DB" w:rsidP="00686036">
            <w:pPr>
              <w:jc w:val="both"/>
              <w:rPr>
                <w:sz w:val="20"/>
                <w:szCs w:val="20"/>
              </w:rPr>
            </w:pPr>
            <w:r>
              <w:rPr>
                <w:sz w:val="20"/>
                <w:szCs w:val="20"/>
              </w:rPr>
              <w:t xml:space="preserve">Diversité géographique des origines : </w:t>
            </w:r>
            <w:r w:rsidR="00784FFC">
              <w:rPr>
                <w:sz w:val="20"/>
                <w:szCs w:val="20"/>
              </w:rPr>
              <w:t>« guerre nationale » = Union sacrée.</w:t>
            </w:r>
          </w:p>
          <w:p w:rsidR="00784FFC" w:rsidRDefault="00784FFC" w:rsidP="00686036">
            <w:pPr>
              <w:jc w:val="both"/>
              <w:rPr>
                <w:sz w:val="20"/>
                <w:szCs w:val="20"/>
              </w:rPr>
            </w:pPr>
          </w:p>
          <w:p w:rsidR="00784FFC" w:rsidRDefault="00784FFC" w:rsidP="00686036">
            <w:pPr>
              <w:jc w:val="both"/>
              <w:rPr>
                <w:sz w:val="20"/>
                <w:szCs w:val="20"/>
              </w:rPr>
            </w:pPr>
            <w:r>
              <w:rPr>
                <w:sz w:val="20"/>
                <w:szCs w:val="20"/>
              </w:rPr>
              <w:t>Fusillés pour l’exemple : justice militaire implacable et parfois aveugle.</w:t>
            </w:r>
          </w:p>
          <w:p w:rsidR="00784FFC" w:rsidRPr="00B32A13" w:rsidRDefault="00784FFC" w:rsidP="00784FFC">
            <w:pPr>
              <w:jc w:val="both"/>
              <w:rPr>
                <w:sz w:val="20"/>
                <w:szCs w:val="20"/>
              </w:rPr>
            </w:pPr>
            <w:r>
              <w:rPr>
                <w:sz w:val="20"/>
                <w:szCs w:val="20"/>
              </w:rPr>
              <w:t>1917 : mutineries après la bataille du Chemin des Dames, très meurtrières et volonté du Gal Nivelle de repartir à l’offensive dans les mêmes conditions.</w:t>
            </w:r>
          </w:p>
        </w:tc>
      </w:tr>
      <w:tr w:rsidR="00B32A13" w:rsidRPr="00B32A13" w:rsidTr="00B32A13">
        <w:tc>
          <w:tcPr>
            <w:tcW w:w="2515" w:type="dxa"/>
            <w:gridSpan w:val="2"/>
          </w:tcPr>
          <w:p w:rsidR="00B32A13" w:rsidRPr="00B32A13" w:rsidRDefault="00B32A13" w:rsidP="00686036">
            <w:pPr>
              <w:jc w:val="both"/>
              <w:rPr>
                <w:sz w:val="20"/>
                <w:szCs w:val="20"/>
              </w:rPr>
            </w:pPr>
            <w:r w:rsidRPr="00B32A13">
              <w:rPr>
                <w:sz w:val="20"/>
                <w:szCs w:val="20"/>
              </w:rPr>
              <w:t>« Matière visuelle »</w:t>
            </w:r>
          </w:p>
        </w:tc>
        <w:tc>
          <w:tcPr>
            <w:tcW w:w="4025" w:type="dxa"/>
          </w:tcPr>
          <w:p w:rsidR="00B32A13" w:rsidRDefault="00B46084" w:rsidP="00686036">
            <w:pPr>
              <w:jc w:val="both"/>
              <w:rPr>
                <w:sz w:val="20"/>
                <w:szCs w:val="20"/>
              </w:rPr>
            </w:pPr>
            <w:r>
              <w:rPr>
                <w:sz w:val="20"/>
                <w:szCs w:val="20"/>
              </w:rPr>
              <w:t>Couleur dominante = vert-gris pour les scènes de combat + paysages détruits, sous la pluie</w:t>
            </w:r>
          </w:p>
          <w:p w:rsidR="00B46084" w:rsidRDefault="00B46084" w:rsidP="00686036">
            <w:pPr>
              <w:jc w:val="both"/>
              <w:rPr>
                <w:sz w:val="20"/>
                <w:szCs w:val="20"/>
              </w:rPr>
            </w:pPr>
            <w:r>
              <w:rPr>
                <w:sz w:val="20"/>
                <w:szCs w:val="20"/>
              </w:rPr>
              <w:t>Jaune : à l’arrière, rappelle les champs de blés, la chaleur + nature conquérante, ensoleillée</w:t>
            </w:r>
          </w:p>
          <w:p w:rsidR="00B46084" w:rsidRPr="00B32A13" w:rsidRDefault="00B46084" w:rsidP="00B46084">
            <w:pPr>
              <w:jc w:val="both"/>
              <w:rPr>
                <w:sz w:val="20"/>
                <w:szCs w:val="20"/>
              </w:rPr>
            </w:pPr>
            <w:r>
              <w:rPr>
                <w:sz w:val="20"/>
                <w:szCs w:val="20"/>
              </w:rPr>
              <w:t>Noir et blanc : pour les flashbacks (souvenirs des principaux personnages</w:t>
            </w:r>
          </w:p>
        </w:tc>
        <w:tc>
          <w:tcPr>
            <w:tcW w:w="4448" w:type="dxa"/>
          </w:tcPr>
          <w:p w:rsidR="00B32A13" w:rsidRPr="00B32A13" w:rsidRDefault="00B46084" w:rsidP="00686036">
            <w:pPr>
              <w:jc w:val="both"/>
              <w:rPr>
                <w:sz w:val="20"/>
                <w:szCs w:val="20"/>
              </w:rPr>
            </w:pPr>
            <w:r>
              <w:rPr>
                <w:sz w:val="20"/>
                <w:szCs w:val="20"/>
              </w:rPr>
              <w:t>Opposition entre la vie au front et à l’arrière</w:t>
            </w:r>
          </w:p>
        </w:tc>
      </w:tr>
      <w:tr w:rsidR="00B32A13" w:rsidRPr="00B32A13" w:rsidTr="00D87A16">
        <w:tc>
          <w:tcPr>
            <w:tcW w:w="2515" w:type="dxa"/>
            <w:gridSpan w:val="2"/>
          </w:tcPr>
          <w:p w:rsidR="00B32A13" w:rsidRPr="00B32A13" w:rsidRDefault="00B32A13" w:rsidP="00686036">
            <w:pPr>
              <w:jc w:val="both"/>
              <w:rPr>
                <w:sz w:val="20"/>
                <w:szCs w:val="20"/>
              </w:rPr>
            </w:pPr>
            <w:r w:rsidRPr="00B32A13">
              <w:rPr>
                <w:sz w:val="20"/>
                <w:szCs w:val="20"/>
              </w:rPr>
              <w:t>« matière sonore »</w:t>
            </w:r>
          </w:p>
        </w:tc>
        <w:tc>
          <w:tcPr>
            <w:tcW w:w="4025" w:type="dxa"/>
          </w:tcPr>
          <w:p w:rsidR="00B32A13" w:rsidRDefault="00B46084" w:rsidP="00686036">
            <w:pPr>
              <w:jc w:val="both"/>
              <w:rPr>
                <w:sz w:val="20"/>
                <w:szCs w:val="20"/>
              </w:rPr>
            </w:pPr>
            <w:r>
              <w:rPr>
                <w:sz w:val="20"/>
                <w:szCs w:val="20"/>
              </w:rPr>
              <w:t>Voix off de la narratrice = fil conducteur du film</w:t>
            </w:r>
          </w:p>
          <w:p w:rsidR="00B46084" w:rsidRPr="00B32A13" w:rsidRDefault="00B46084" w:rsidP="00686036">
            <w:pPr>
              <w:jc w:val="both"/>
              <w:rPr>
                <w:sz w:val="20"/>
                <w:szCs w:val="20"/>
              </w:rPr>
            </w:pPr>
            <w:r>
              <w:rPr>
                <w:sz w:val="20"/>
                <w:szCs w:val="20"/>
              </w:rPr>
              <w:t>Tranchées : appels, ordres, bombardements, avions = très bruyants</w:t>
            </w:r>
          </w:p>
        </w:tc>
        <w:tc>
          <w:tcPr>
            <w:tcW w:w="4448" w:type="dxa"/>
          </w:tcPr>
          <w:p w:rsidR="00B32A13" w:rsidRPr="00B32A13" w:rsidRDefault="00B46084" w:rsidP="00686036">
            <w:pPr>
              <w:jc w:val="both"/>
              <w:rPr>
                <w:sz w:val="20"/>
                <w:szCs w:val="20"/>
              </w:rPr>
            </w:pPr>
            <w:r>
              <w:rPr>
                <w:sz w:val="20"/>
                <w:szCs w:val="20"/>
              </w:rPr>
              <w:t>Le bruit permanent = source d’angoisse pour les soldats, violence psychologique (cf. les « gueules cassées »)</w:t>
            </w:r>
          </w:p>
        </w:tc>
      </w:tr>
    </w:tbl>
    <w:p w:rsidR="00B32A13" w:rsidRPr="00686036" w:rsidRDefault="00B32A13" w:rsidP="00B46084">
      <w:pPr>
        <w:jc w:val="both"/>
        <w:rPr>
          <w:sz w:val="24"/>
          <w:szCs w:val="24"/>
        </w:rPr>
      </w:pPr>
      <w:bookmarkStart w:id="0" w:name="_GoBack"/>
      <w:bookmarkEnd w:id="0"/>
    </w:p>
    <w:sectPr w:rsidR="00B32A13" w:rsidRPr="00686036" w:rsidSect="0068603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036"/>
    <w:rsid w:val="004675DB"/>
    <w:rsid w:val="00686036"/>
    <w:rsid w:val="00784FFC"/>
    <w:rsid w:val="00B32A13"/>
    <w:rsid w:val="00B46084"/>
    <w:rsid w:val="00C573D8"/>
    <w:rsid w:val="00DD0660"/>
    <w:rsid w:val="00E01C8D"/>
    <w:rsid w:val="00E54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8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3364</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Mayie</dc:creator>
  <cp:lastModifiedBy>Mayie</cp:lastModifiedBy>
  <cp:revision>2</cp:revision>
  <cp:lastPrinted>2015-09-06T19:27:00Z</cp:lastPrinted>
  <dcterms:created xsi:type="dcterms:W3CDTF">2015-09-06T20:02:00Z</dcterms:created>
  <dcterms:modified xsi:type="dcterms:W3CDTF">2015-09-06T20:02:00Z</dcterms:modified>
</cp:coreProperties>
</file>